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before="0" w:after="0" w:line="240" w:lineRule="auto"/>
        <w:rPr>
          <w:rFonts w:ascii="Tahoma" w:hAnsi="Tahoma" w:eastAsia="Tahoma" w:cs="Tahoma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ahoma" w:hAnsi="Tahoma" w:eastAsia="Tahoma" w:cs="Tahoma"/>
          <w:color w:val="auto"/>
          <w:spacing w:val="0"/>
          <w:position w:val="0"/>
          <w:sz w:val="20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tbl>
      <w:tblPr>
        <w:tblLook w:val="04A0" w:firstRow="1" w:lastRow="0" w:firstColumn="1" w:lastColumn="0" w:noHBand="0" w:noVBand="1"/>
      </w:tblPr>
      <w:tblGrid>
        <w:gridCol w:w="5103"/>
        <w:gridCol w:w="5103"/>
      </w:tblGrid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color="auto" w:fill="auto"/>
              </w:rPr>
              <w:t xml:space="preserve">16 августа 2021 года</w:t>
            </w:r>
            <w:r/>
          </w:p>
        </w:tc>
        <w:tc>
          <w:tcPr>
            <w:shd w:val="clear" w:color="auto" w:fill="auto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color="auto" w:fill="auto"/>
              </w:rPr>
              <w:t xml:space="preserve">N 478</w:t>
            </w:r>
            <w:r/>
          </w:p>
        </w:tc>
      </w:tr>
    </w:tbl>
    <w:p>
      <w:pPr>
        <w:ind w:left="0" w:right="0" w:firstLine="0"/>
        <w:jc w:val="both"/>
        <w:spacing w:before="100" w:after="100" w:line="240" w:lineRule="auto"/>
        <w:rPr>
          <w:rFonts w:ascii="Arial" w:hAnsi="Arial" w:eastAsia="Arial" w:cs="Arial"/>
          <w:color w:val="auto"/>
          <w:spacing w:val="0"/>
          <w:position w:val="0"/>
          <w:sz w:val="0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0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УКАЗ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ПРЕЗИДЕНТА РОССИЙСКОЙ ФЕДЕРАЦИИ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О НАЦИОНАЛЬНОМ ПЛАНЕ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ПРОТИВОДЕЙСТВИЯ КОРРУПЦИИ НА 2021 - 2024 ГОДЫ</w:t>
      </w:r>
      <w:r/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r>
      <w:r/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r>
            <w:r/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r>
            <w:r/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  <w:t xml:space="preserve">(в ред.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  <w:t xml:space="preserve"> Президента РФ от 26.06.2023 N 474)</w:t>
            </w:r>
            <w:r/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</w:r>
            <w:r/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 соответствии с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Федерального закона от 25 декабря 2008 г. N 273-ФЗ "О противодействии коррупции" постановляю: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1. Утвердить прилагаемый Национальный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противодействия коррупции на 2021 - 2024 годы.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2. Руководителям федеральных органов исполнительной власти обеспечить в соответствии с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противодействия коррупции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на 2021 - 2024 годы, утвержденным настоящим Указом (далее - Национальный план), реализацию предусмотренных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3. Рекомендовать: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Конституционном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 Суду Российской Федерации, Верховному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кой Федерации, Центральному банку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реализацию предусмотренных им мероприятий и внесение изменений в свои планы противодействия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высшим должностным лицам (руководителям высших исполнительных органо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самоуправления обеспечить в соответствии с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реализацию предусмотренных им мероприятий и внесение изменений в регион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4. Доклады о результатах исполнения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 (планы противодействия коррупции), представить до 1 октября 2021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5. Установить, что, если иное не предусмотрено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, доклады о результатах исполнения настоящего Указа и выполнения Национального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(далее - доклады) представляются: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- Президенту Российской Федерации;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федеральными органами ис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иными федеральными государственными органами и организациями - Президенту Российской Федерации;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г) высшими должностными лицами (руководителями высших исполнительных органов государственной власти) субъект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д) органами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 - высшим должностным лицам (руководителям высших исполнительных орган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высши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е) организациями, созданными для выполнения задач, поставленных перед федеральными органами исполнительной власти, 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докладов. Правительство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з) организациями, созданными для выпол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даты представления докладов.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, представляют в Правительство Российской Федерации подготовленные ими в целях исполнения этих поручений: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проекты постановлений и распоряжений Правительства Российской Федерации для их рассмотрения и принятия Правительством Российской Федерации.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7. Установить, что федеральные государственные органы, не указанные в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Указа, являющиеся основными исполнителями поручений, предусмотренных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, представляют подготовленные ими в целях исп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8. Президиуму Совета при Президенте Российской Федерации по противодействию коррупции: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противодействия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рассматривать ежегодно доклад рабочей группы, названной в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пункта, о реализации за отчетный период мероприятий, предусмотренных Национальным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9. Финансовое обес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10. Настоящий Указ вступает в силу со дня его подписания.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Президент</w:t>
      </w:r>
      <w:r/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В.ПУТИН</w:t>
      </w:r>
      <w:r/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Москва, Кремль</w:t>
      </w:r>
      <w:r/>
    </w:p>
    <w:p>
      <w:pPr>
        <w:ind w:left="0" w:right="0" w:firstLine="0"/>
        <w:jc w:val="left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16 августа 2021 года</w:t>
      </w:r>
      <w:r/>
    </w:p>
    <w:p>
      <w:pPr>
        <w:ind w:left="0" w:right="0" w:firstLine="0"/>
        <w:jc w:val="left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N 478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Утвержден</w:t>
      </w:r>
      <w:r/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Указом Президента</w:t>
      </w:r>
      <w:r/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от 16 августа 2021 г. N 478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НАЦИОНАЛЬНЫЙ ПЛАН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ПРОТИВОДЕЙСТВИЯ КОРРУПЦИИ НА 2021 - 2024 ГОДЫ</w:t>
      </w:r>
      <w:r/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r>
      <w:r/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r>
            <w:r/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color="auto" w:fill="auto"/>
              </w:rPr>
            </w:r>
            <w:r/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  <w:t xml:space="preserve">(в ред.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  <w:t xml:space="preserve"> Президента РФ от 26.06.2023 N 474)</w:t>
            </w:r>
            <w:r/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16"/>
                <w:shd w:val="clear" w:color="auto" w:fill="auto"/>
              </w:rPr>
            </w:r>
            <w:r/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Настоящий Национальный план реализуется путем осуществления гос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I. Совершенствование системы запретов, ограничений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 обязанностей, установленных в целях противодействия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коррупции в отдельных сферах деятельности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1. Правительству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остью руководителя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г. представить предложения по совершенствованию правового регулирования в этой сфере;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до 15 октября 2021 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рассмотреть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твия коррупции (далее - антикоррупционные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 исполнения настоящего подпункта представить до 1 сентября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г) проанализировать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коррупции, по итогам проведенного анализа до 10 июня 2023 г. представить предл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сфере, а также по актуализации Типового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д) проанализировать практик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 марта 2024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е) проанализировать практику использования государственными органами и органами местного самоупр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10 апреля 2024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ж) 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организациями, являющимися орг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представить до 1 сентября 2023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з) до 10 ноября 2021 г.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установлению обязанности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кандидата на должность атамана Всероссийского казачьего общества представлять сведения о доходах, расходах, об имуществе и обязательствах имущественного характера при внесении представления о его назначении на эту должность Президенту Российской Федерации;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правовому регулированию вопросов, касающихся размещения сведений о доходах, расходах, об имуществе и обязательствах имущественного характера, представленных атаманами войсковых казачьих обществ, внесенных в государственный реестр каза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чьих обществ в Российской Федерации, и атаманом Всероссийского казачьего общества, в информационно-телекоммуникационной сети "Интернет" (далее - сеть "Интернет") и предоставления этих сведений общероссийским средствам массовой информации для опубликования;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и) подготовить с участием Генеральной прокуратуры Российской Федерации и до 10 июня 2022 г.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возложению на депутатов законодательных (представительных) органов государственной власти субъектов Российской Федерации, на иных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 каких-либо лиц в целях склонения к совершению коррупционных правонарушений;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распространению на депутато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от 25 декабря 2008 г. N 273-ФЗ "О противодействии коррупции" (далее - Федеральный закон "О 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2. Администрации Президента Российской Федерации доработать с участием Центрального банка Российской Федерации проект федеральн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обязательствах имуществен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ного характера, а также проверку полноты и достоверности этих сведений. Доработанный проект федерального закона до 20 ноября 2021 г. представить Президенту Российской Федерации для внесения в Государственную Думу Федерального Собрания Российской Федерации.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3. Рекомендовать Верховному Суду Российской Федерации до 1 сентября 2023 г.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по установлению об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4. Рекомендовать Судебному департаменту при Верховном Суде Российской Федерации рассмотреть вопрос о возможности разработки типового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должностей, при замещении которых на федеральных государственных гражданских служащих аппаратов федеральных судов общей юрисдикции, феде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доходах, расходах, об имуществе и обязательствах имущественного характера.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30 мая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5. Генеральной прокуратуре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подготовить с участием Администрации Президента Российской Федерации и Правительства Ро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ссийской Федерации и до 10 декабря 2021 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рекомендаций Группы государств против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подготовить с участие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государственных органов и до 30 января 2023 г.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деятельности), запрета на прием на работу по трудовому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Уголовного кодекса Российской Федерации;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или подвергавшегося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 такой должности.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6. Министерству труда и социальной защиты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подготовить методические рекомендации по вопросам: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формирования плана по противодействию коррупции федерального органа исполнительной власти;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подготовить обзор правоприменительной практики, связанной с защитой лиц, сообщивших о ставших им известными фактах коррупции.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25 декабря 2023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II. Повышение эффективности мер по предотвращению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 урегулированию конфликта интересов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7. Правительству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провести с участием представите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анализа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Федеральном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"О противодействии коррупции";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 предотвращению и урегулированию конфликта интересов,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лицо выполняло работы (которым оказывало услуги) на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пункта представить до 20 марта 2023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провести с участием Центрального банка Российской Федерации анализ практики применения норм законодательства о против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ожет привести к конфликту интересов, на предмет эффективности и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т в целях предотвращения и урегулирования конфликта интересов, и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 августа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8. Генеральной прокуратуре Российской Федерации ежегодно, до 1 апреля, представлять Президенту Российской Федера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ции доклад о 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урегулирования конфликта интересов.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9.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 государст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 октября 2022 г. представить предложения по совершенствованию правового регулирования в этой сфере.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10. Министерству финансов Российской Федерации с участием Министерства труда и социальной защиты Российской Федерации по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1 июля 2024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III. Совершенствование порядка проведения проверок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достоверности и полноты сведений о доходах, расходах,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об имуществе и обязательствах имущественного характера,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соблюдения запретов и ограничений, исполнения обязанностей,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установленных в целях противодействия коррупции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11. Правительству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рассмотреть вопрос о порядке осуществления проверок достоверности и полноты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 - антикоррупционные проверки), в случае изменения лицом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(муниципальную) должность (назначения на иную государственную (муниципальную) должность);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запросы о проведении оперативно-разыскных мероприятий в соответствии с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Федерального закона от 12 августа 1995 г. N 144-ФЗ "Об оперативно-розыскной деятельности" при осуществлении антикоррупционных проверок в отношении лиц,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с участием Центрального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(руководителями высш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антикоррупционных проверок напр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финансовых активов.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об исполнении настоящего пункта представить до 15 ноября 2022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12. Генеральной прокуратуре Российской Федерации с участием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Центрального банка Российской Федерации подготовить предложения по совершенствованию правового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об исполнении настоящего пункта представить до 1 ноября 2021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13. Министерству труда и социальной защиты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с участием Министерства финансов Российской Федерации рассмотреть вопрос об установлении обязанности налоговых органов Российской Федерации пр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едоставлять по запросам, направляемым им в установленном порядке в ходе осуществления антикоррупционных проверок,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обязанность лиц, осуществляющих профессиональную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деятельность на рынке ценных бумаг, предоставлять по запросам, направляемым им в установленном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направлен запрос;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предоставление Центральным банком Российской Федерации по запросам, направляемым ему в установленном порядке в ходе осуществления антикорру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отношении которого направлен запрос;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-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пункта представить до 10 октября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г) подготовить с участием Министерства юстиции Российской Федерации и до 15 ноября 2022 г. представить предложения, касающиеся проведения по решению высшего должностного лица (р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д) разработать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 января 2024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IV. Совершенствование правового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регулирования ответственности за несоблюдение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антикоррупционных стандартов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14. Правительству Российской Федерации подготовить с участием Генеральной прокуратуры Российской Федерации и до 1 августа 2022 г.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порядку привлечения к ответственности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по установлению временного ограничения права лица, полномочия которого были досрочно прекращены и которое было уволено с государственной (муниципальной)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службу, занимать отдельные должности в организациях, учредителями или контроли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государственными корпорациями (компаниями), публично-правовыми компаниями.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15. Министерству труда и социальной защиты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подготовить с участием Министерства юстиции Российской Федерации и до 20 апреля 2023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актуализировать обзор практики привлечения к ответственности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 марта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проанализировать правоприменительную практику, связанную с реализацией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по итогам проведенного анализа подготовить методические рекомендации, определяющие пор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настоящего подпункта представить до 20 апреля 2023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V. Применение мер административного,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уголовного и уголовно-процессуального воздействия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 уголовного преследования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16.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Уголовного кодекса Российской Федерации.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30 декабря 2021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17. Генеральной прокуратуре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с участием Министерства внутренних дел Российской Федерации, Федеральной службы безопасности Российской Федераци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30 сентября 2024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) ежегодно, до 15 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совместно с Министерством внутренних дел Российской Федерации, Федеральной службой безопасности Российской Фед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ерации и Федеральной службой судебных приставов принять дополнительные меры, направленные на обеспечение взыскания ущерба, причиненного коррупционными правонарушениями. Доклад о результатах исполнения настоящего подпункта представить до 10 августа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г) подготавливать с участием Следственного комитета Российской Федерации, Министерства внутр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енних дел Российской Федерации, Федеральной службы безопасности Российской Федерации, Федеральной службы по финансовому мониторингу и ежегодно, до 1 мая, представлять доклад о выявлении, раскрытии и расследовании фактов подкупа иностранных должностных лиц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 должностных лиц международных организаций при осуществлении международных коммерческих сделок, а также до 1 июня 2023 г. представить предложения по совершенствованию правового регулирования в этой сфере. Итоговый доклад представить до 10 декабря 2024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д) 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 судебную практику в части, касающейся возмещения ущерба, причиненного преступлениями коррупционной направленности, и до 25 августа 2023 г. представить предложения о целесообразности выделения из основного уголовного дела в отдельное производство уголовн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ого дела о розыске и аресте доходов, полученных преступным путем,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18. Минист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ерству юстиции Российской Федерации подготовить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 октября 2022 г.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 внесении в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Уголовного кодекса Российской Федерации изменения, предусматривающего ус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 внесении в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Уголовного кодекса Российской Федерации изменений, направленных на устранение дисп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ропорции в применении уголовных наказаний, заключающейся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19. Министерству внутренних де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л Российской Федерации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фактов взяточничества, предоставления аффилир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15 марта. Итоговый доклад представить до 10 декабря 2024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VI. Обеспечение защиты информации ограниченного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доступа, полученной при осуществлении деятельности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в области противодействия коррупции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20. Правительству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до 10 ноября 2023 г. представить 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реализации мер по противодействию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до 20 мая 2024 г. представить предложения: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 поряд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 порядке предоставления государственными органами, органа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ми местного самоуправления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21. Министерству цифрового развития, связи и массовых коммуникаций Российской Федерации подготовить с участием Федеральной службы охраны Российской Федерации и до 20 октября 2021 г. представить предложения о разработке и внедрении инженерно-технических реш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ений, обеспечивающих проведение в защищенном режиме с использованием видео-конференц-связи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VII. Совершенствование правового регулирования в части,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касающейся ограничений, налагаемых на граждан после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их увольнения с государственной (муниципальной) службы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22. Правительству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проанализировать практику применения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Федерального закона "О противодействии коррупции" и до 20 июня 2024 г. представить предложения по совершенствованию правового регулирования в этой сфере, рассмотрев вопрос о возможности распространения ограничения, предусмотренного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указанной статьи: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на лиц, замещавших государственные должности;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на лиц, являвшихся руководителями (заместителями руководителей) государственных органов или органов местного самоуправления и намеревающ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ихся заключить трудовые или гражданско-правовые договоры с организациями, в отношении которых эти государственные органы или органы местного самоуправления осуществляли полномочия учредителя (участника, акционера), собственника имущества таких организаций;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до 20 июня 2024 г. представить предложения о порядке проведения проверки соблюдения гражданами ограничения, предусмотренного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Федерального закона "О противодействии коррупции".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VIII. Реализация мер по противодействию коррупции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в организациях, осуществляющих деятельность в частном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секторе экономики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23. 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ты Российской Федерации и общероссийских объединений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30 мая 2023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24. Рекомендовать Торгово-промышленной палате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продолжить проведение ежегодного независимого исследования в целях определения отношени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с участием Уполномоченного по защите прав предпринимателей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продолжить проведение ежегодных всероссийских акций, направ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ленных на внедрение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 апреля, представлять доклад по итогам проведения таких акций;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 20 июня 2022 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IX. Совершенствование правовых и организационных основ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противодействия коррупции в субъектах Российской Федерации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25. Правительству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с участием Администрации Президента Российской Федерации рассмотреть вопросы, касающиеся совершенствования правового ре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о комиссии по координации работы по противодействию коррупции в субъекте Российской Федерации и Типового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об органе субъекта Российской Федерации по профилактике коррупционных и иных правонарушени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коррупции". Доклад о результатах исполнения настоящего подпункта представить до 1 июля 2023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провести совместно с органами субъектов Российской Федерации по профилактике коррупционных и иных правонарушений мониторинг участия лиц, замещающих государственные должности субъ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некоммерческими организациями и до 1 сентября 2023 г. представи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совершенствованию правового регулирования в этой сфере.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26.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службы, кадров и противодействия коррупции, Министерства труда и социальной защиты Росси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противодействии коррупции.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(в ред.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Президента РФ от 26.06.2023 N 474)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10 декабря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27. Рекомендо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вать высшим должностным лицам (руководителям высших исполнительных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 марта.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X. Совершенствование мер по противодействию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коррупции при осуществлении закупок товаров, работ,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услуг для обеспечения государственных и муниципальных нужд,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закупок, осуществляемых отдельными видами юридических лиц,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а также при распоряжении государственным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 муниципальным имуществом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28. Правительству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до 30 января 2024 г. предст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и в законодательство Российской Федерации о закупках товаров, работ, услуг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действий, которые могут привести к нарушению требований законодательства о противодействии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до 30 ноября 2023 г. представить предложения о порядке предоставления и последующей актуализации руковод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ителями заказчиков и лицами,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до 20 сентября 2022 г.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ой)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29. Генеральной прокуратуре Российской Федерации с участием заинтересованных федеральных гос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15 апреля.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XI. Реализация мер по повышению эффективности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антикоррупционной экспертизы нормативных правовых актов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 проектов нормативных правовых актов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30. Генеральной прокуратуре Российской Федерации осуществлять: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обобщение результатов работы органов прокуратуры по проведению антикоррупционной экспертизы нормативных правовых актов органов государственно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1 августа.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31. Министерству юстиции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пункта;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пункта представить до 5 декабря 2024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XII. Повышение эффективности образовательных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 иных мероприятий, направленных на антикоррупционное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просвещение и популяризацию в обществе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антикоррупционных стандартов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32. Правительству Российской Федерации совместно с заинтересованными федеральными государственными органами, научными и образовательными организациями: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до 30 сентября 2021 г. подготовить по согласованию с Администрацией Президента Российской Федерации план проведения в 2021 - 2024 годах научных междисципл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 февраля;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до 1 ноября 2021 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до 1 апреля 2022 г. обеспечить проведение всероссийского семинара для представителей федеральных и региональных средств массовой информации по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вопросам создания и продвижения социальной антикоррупционной рекламы, осуществления комплекса иных информационно-просветительских мероприятий антикоррупционной направленности и обеспечить реализацию выработанных по итогам указанного семинара рекомендаций.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семинара-совещания по 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34. Министерству труда и социальной защиты Российской Федерации с участием заинтересованных государственных органов: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обеспечить разработку и утверждение типовых дополнительных профессиональных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в области противодействия коррупции. Доклад о результатах исполнения настоящего подпункта представить до 1 июня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под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стандартов. Доклад о результатах исполнения настоящего подпункта представить до 10 февраля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35. Министерству просвещения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ющих формирование у обучающихся нетерпимого отношения к коррупционному поведению, а в профессиональной деятельности - готовности содействовать пресечению такого поведения. Доклад о результатах исполнения настоящего подпункта представить до 15 июня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с участием заинтересованных государственных органов и организаций обесп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ечить проведение 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 мая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36. Министерству науки и высшего образования Российской Федерации с участием заинтересованных государственных органов и организаций: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организовать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 декабря;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орган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 ноября 2024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 июня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г) с участием Министерства просвещения Российской Федерации обеспечить утверждение и реализацию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по антикоррупционному просвещению населения на 2021 - 2024 годы, предусмотрев в том числе проведение со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 до 1 февраля. Итоговый доклад представить до 10 декабря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37. Министерству промышленности и торговли Российской Федерации с участием заинтересованных государственных корпораций (компаний) и органи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заций, созданных для выполнения задач, поставленных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еэкономической деятельности образовательных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25 ноября 2021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38. Федеральному казначейству организовать проведение Всероссийского антикоррупционного форума финансово-экономических органов.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15 августа 2023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39. Рекомендовать руководителям федеральных государственных органов, высшим должностным ли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участие государственных (муниципальных) служащих, работников, в должност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участие лиц, впервые 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участие государственных (муниципальных) служащих, работников, в должностные обязанности которых входит участие в проведении закупок товаров,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 февраля, в Министерство труда и социальной защиты Российской Федерации для подготовки сводного доклада.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Министерству труда и социальной защиты Российской Федерации сводный доклад представлять ежегодно, до 1 апреля, а итоговый доклад и при необходимости предложения по совершенствованию работы в этой сфере представить до 10 декабря 2024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XIII. Применение дополнительных мер по расширению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участия граждан и институтов гражданского общества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в реализации государственной политики в области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противодействия коррупции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40. Правительству Российской Федерации проанализировать практику рассмотрения государ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15 декабря 2023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41.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настоящего пункта представить до 20 мая 2023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рассмотреть вопрос о целесообразности включения направления "Противодействие коррупции и ан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 июня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г) подготовить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представить до 1 февраля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42. 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также с у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четом особенностей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1 апреля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43.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расширить практику включения в составы комиссий по координации работы по противодействию коррупции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 до 20 сентября 2023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с участием Минист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Российской Федерации и общественных палат субъектов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настоящего подпункта представить до 25 апреля 2024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44. Рекомендовать Общероссийской общественной организации "Ассоциация юристов России":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представить до 1 ноября 2024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XIV. Повышение эффективности международного сотрудничества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Российской Федерации в области противодействия коррупции.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Укрепление международного авторитета России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45. Генеральной прокуратуре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с участием Администрации Президента Российско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ООН против коррупции;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с участием заинтересованных федераль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 противодействию коррупции.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 марта.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46. Минист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 марта.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47.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 марта.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48.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 марта.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XV. Реализация мер по систематизации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и актуализации нормативно-правовой базы в области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противодействия коррупции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49. Министерству юстиции Российской Федерации с участием Министерства труда и социальной защиты Российской Федерации осуществлять на постоя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ства Российской Федерации, устранения пробелов и противоречий в правовом регулировании в области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Доклад о результатах исполнения настоящего пункта представлять ежегодно, до 1 апреля. Итоговый доклад представить до 20 декабря 2024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XVI. Применение цифровых технологий в целях противодействия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коррупции и разработка мер по противодействию новым формам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проявления коррупции, связанным с использованием</w:t>
      </w:r>
      <w:r/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6"/>
          <w:shd w:val="clear" w:color="auto" w:fill="auto"/>
        </w:rPr>
        <w:t xml:space="preserve">цифровых технологий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50. Генеральной прокуратуре Российской Федерации до 15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 июля 2024 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активы, иные цифровые права, цифрова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я валюта, а также с обнаружением, арестом и последующим возвращением потерпевшим и (или) обращением в доход государства цифровых активов, иных цифровых прав, цифровой валюты, полученных (преобразованных в таковые) в результате совершения этих преступлений.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51. Следственному комитету Российской Федерации, Министерству внутренних дел Российской Феде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рации и Федеральной службе безопасности Российской Федерации ежегодно, до 1 марта, представлять в Администрацию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52. 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рассмотреть вопрос о создании и внедрении цифровых технологий, позволяющих осуществлять в электронной форме прием сведени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представить до 20 июня 2023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интернет-ресурсов (</w:t>
      </w:r>
      <w:hyperlink r:id="rId8" w:tooltip="http://www.regulation.gov.ru/" w:history="1">
        <w:r>
          <w:rPr>
            <w:rFonts w:ascii="Arial" w:hAnsi="Arial" w:eastAsia="Arial" w:cs="Arial"/>
            <w:color w:val="0000ff"/>
            <w:spacing w:val="0"/>
            <w:position w:val="0"/>
            <w:sz w:val="16"/>
            <w:u w:val="single"/>
            <w:shd w:val="clear" w:color="auto" w:fill="auto"/>
          </w:rPr>
          <w:t xml:space="preserve">www.regulation.gov.ru</w:t>
        </w:r>
      </w:hyperlink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, </w:t>
      </w:r>
      <w:hyperlink r:id="rId9" w:tooltip="http://www.vashkontrol.ru/" w:history="1">
        <w:r>
          <w:rPr>
            <w:rFonts w:ascii="Arial" w:hAnsi="Arial" w:eastAsia="Arial" w:cs="Arial"/>
            <w:color w:val="0000ff"/>
            <w:spacing w:val="0"/>
            <w:position w:val="0"/>
            <w:sz w:val="16"/>
            <w:u w:val="single"/>
            <w:shd w:val="clear" w:color="auto" w:fill="auto"/>
          </w:rPr>
          <w:t xml:space="preserve">www.vashkontrol.ru</w:t>
        </w:r>
      </w:hyperlink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, </w:t>
      </w:r>
      <w:hyperlink r:id="rId10" w:tooltip="http://www.roi.ru/" w:history="1">
        <w:r>
          <w:rPr>
            <w:rFonts w:ascii="Arial" w:hAnsi="Arial" w:eastAsia="Arial" w:cs="Arial"/>
            <w:color w:val="0000ff"/>
            <w:spacing w:val="0"/>
            <w:position w:val="0"/>
            <w:sz w:val="16"/>
            <w:u w:val="single"/>
            <w:shd w:val="clear" w:color="auto" w:fill="auto"/>
          </w:rPr>
          <w:t xml:space="preserve">www.roi.ru</w:t>
        </w:r>
      </w:hyperlink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). Доклад о результатах исполнения настоящего подпункта представить до 1 октября 2024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нов, органов государственной власти субъектов Российской Федерации, органов местного самоуправления, а также за деятельностью государственных и муниципальных организаций. Доклад о результатах исполнения настоящего подпункта представить до 20 апреля 2023 г.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53. 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а) подгот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овить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 настоящего подпункта представить до 15 ноября 2021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б) 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, а также обзор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 декабря 2022 г.;</w:t>
      </w:r>
      <w:r/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в) 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</w:t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  <w:t xml:space="preserve">й, а также осуществления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 сентября 2023 г.</w:t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/>
    </w:p>
    <w:p>
      <w:pPr>
        <w:ind w:left="0" w:right="0" w:firstLine="0"/>
        <w:jc w:val="both"/>
        <w:spacing w:before="100" w:after="100" w:line="240" w:lineRule="auto"/>
        <w:rPr>
          <w:rFonts w:ascii="Arial" w:hAnsi="Arial" w:eastAsia="Arial" w:cs="Arial"/>
          <w:color w:val="auto"/>
          <w:spacing w:val="0"/>
          <w:position w:val="0"/>
          <w:sz w:val="0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0"/>
          <w:shd w:val="clear" w:color="auto" w:fill="auto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character" w:styleId="2136" w:default="1">
    <w:name w:val="Default Paragraph Font"/>
    <w:uiPriority w:val="1"/>
    <w:semiHidden/>
    <w:unhideWhenUsed/>
  </w:style>
  <w:style w:type="numbering" w:styleId="2137" w:default="1">
    <w:name w:val="No List"/>
    <w:uiPriority w:val="99"/>
    <w:semiHidden/>
    <w:unhideWhenUsed/>
  </w:style>
  <w:style w:type="paragraph" w:styleId="2138" w:default="1">
    <w:name w:val="Normal"/>
    <w:qFormat/>
  </w:style>
  <w:style w:type="table" w:styleId="21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regulation.gov.ru/" TargetMode="External"/><Relationship Id="rId9" Type="http://schemas.openxmlformats.org/officeDocument/2006/relationships/hyperlink" Target="http://www.vashkontrol.ru/" TargetMode="External"/><Relationship Id="rId10" Type="http://schemas.openxmlformats.org/officeDocument/2006/relationships/hyperlink" Target="http://www.ro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