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1018"/>
        <w:jc w:val="center"/>
        <w:spacing w:after="120" w:line="240" w:lineRule="exact"/>
        <w:outlineLvl w:val="0"/>
      </w:pPr>
      <w:r>
        <w:rPr>
          <w:sz w:val="28"/>
          <w:szCs w:val="28"/>
        </w:rPr>
        <w:t xml:space="preserve">               УТВЕРЖДЕНА</w:t>
      </w:r>
      <w:r/>
      <w:r/>
    </w:p>
    <w:p>
      <w:pPr>
        <w:pStyle w:val="1_1018"/>
        <w:ind w:left="0" w:right="0" w:firstLine="4252"/>
        <w:spacing w:line="240" w:lineRule="exact"/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государственного областного </w:t>
      </w:r>
      <w:r>
        <w:rPr>
          <w:sz w:val="28"/>
          <w:szCs w:val="28"/>
        </w:rPr>
      </w:r>
      <w:r/>
    </w:p>
    <w:p>
      <w:pPr>
        <w:pStyle w:val="1_1018"/>
        <w:ind w:left="0" w:right="0" w:firstLine="4252"/>
        <w:spacing w:line="240" w:lineRule="exact"/>
      </w:pPr>
      <w:r>
        <w:rPr>
          <w:sz w:val="28"/>
          <w:szCs w:val="28"/>
        </w:rPr>
        <w:t xml:space="preserve">казенного учреждения «Государственное </w:t>
      </w:r>
      <w:r>
        <w:rPr>
          <w:sz w:val="28"/>
          <w:szCs w:val="28"/>
        </w:rPr>
      </w:r>
      <w:r/>
    </w:p>
    <w:p>
      <w:pPr>
        <w:pStyle w:val="1_1018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юридическое бюро Новгородской </w:t>
      </w:r>
      <w:r>
        <w:rPr>
          <w:sz w:val="28"/>
          <w:szCs w:val="28"/>
        </w:rPr>
      </w:r>
    </w:p>
    <w:p>
      <w:pPr>
        <w:pStyle w:val="1_1018"/>
        <w:ind w:left="0" w:right="0" w:firstLine="425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области»</w:t>
      </w:r>
      <w:r>
        <w:rPr>
          <w:sz w:val="28"/>
          <w:szCs w:val="28"/>
        </w:rPr>
        <w:t xml:space="preserve">      </w:t>
      </w:r>
      <w:r/>
      <w:r/>
    </w:p>
    <w:p>
      <w:pPr>
        <w:pStyle w:val="1_1018"/>
        <w:ind w:left="0" w:right="0" w:firstLine="4252"/>
        <w:spacing w:line="240" w:lineRule="exact"/>
      </w:pPr>
      <w:r>
        <w:rPr>
          <w:sz w:val="28"/>
          <w:szCs w:val="28"/>
        </w:rPr>
        <w:t xml:space="preserve">от «20».12.2022 № 33-ОД</w:t>
      </w:r>
      <w:r>
        <w:rPr>
          <w:sz w:val="28"/>
          <w:szCs w:val="28"/>
        </w:rPr>
      </w:r>
      <w:r/>
    </w:p>
    <w:p>
      <w:pPr>
        <w:ind w:left="0" w:right="0" w:firstLine="0"/>
        <w:jc w:val="left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АНТИКОРРУПЦИОННАЯ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ОБЛАСТНОГО КАЗЕННОГО УЧРЕЖДЕНИЯ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3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«ГОСУДАРСТВЕННОЕ ЮРИДИЧЕСКОЕ БЮРО 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</w:r>
    </w:p>
    <w:p>
      <w:pPr>
        <w:pStyle w:val="818"/>
        <w:numPr>
          <w:ilvl w:val="0"/>
          <w:numId w:val="2"/>
        </w:numPr>
        <w:ind w:left="0" w:right="0" w:firstLine="0"/>
        <w:jc w:val="center"/>
        <w:spacing w:before="0" w:after="0" w:line="362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  <w:t xml:space="preserve">Общие положения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1.1. Настоящая внутренняя антикоррупционная политика государственного областного казенного учреждения «Государственное юридическое бюро Новгородской области»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(далее антикоррупционная политика) является локальным нормативным актом государственного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областного казенного учреждения «Государственное юридическое бюро Новгородской области» (далее учреждение), определяющим ключевые принципы и требования,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направленные на предотвращение коррупции и соблюдение норм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применимого антикоррупционного законодательства работниками учреждения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1.2. Антикоррупционная политика разработана в соответствии с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Федеральном законом от 25.12.2008 № 273-ФЗ «О противодействии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коррупции» и иными нормативными правовыми актами Российской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Федерации в области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противодействия коррупции.</w:t>
      </w:r>
      <w:r>
        <w:rPr>
          <w:rFonts w:ascii="Times New Roman" w:hAnsi="Times New Roman" w:cs="Times New Roman"/>
          <w:color w:val="1a1a1a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настоящей антикоррупционной политике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определяются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основные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принципы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меры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противодействия коррупции, устанавливается структура организации антикоррупционной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деятельности в учреждении.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1.4. Основные термины и определения: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коррупция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злоупотребление служебным положением, дача взятки,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получение взятки, злоупотребление полномочиями, коммерческий подкуп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либо иное незаконное использование физическим лицом своего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должностного положения вопреки законным интересам общества 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государства в целях получения выгоды в виде денег, ценностей, иного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имущества или услуг имущественного характера, иных имущественных прав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для себя или для третьих лиц либо незаконное предоставление такой выгоды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указанному лицу другими физическими лицами (коррупцией также является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совершение перечисленных деяний от имени или в интересах юридического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лица);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противодействие коррупции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деятельность федеральных органов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государственной власти, органов государственной власти субъектов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Российской Федерации, органов местного самоуправления, институтов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гражданского общества, организаций и физических лиц в пределах их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полномочий: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а) по предупреждению коррупции, в том числе по выявлению 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последующему устранению причин коррупции (профилактика коррупции);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б) по выявлению, предупреждению, пресечению, раскрытию 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расследованию коррупционных правонарушений (борьба с коррупцией);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в) по минимизации и (или) ликвидации последствий коррупционных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правонарушений;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предупреждение коррупции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деятельность учреждения, его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работников, направленная на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создание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sz w:val="28"/>
          <w:szCs w:val="28"/>
        </w:rPr>
        <w:t xml:space="preserve"> структуры,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установление правил и процедур, обеспечивающих недопущение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коррупционных правонарушений;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коррупционное правонарушение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-</w:t>
      </w:r>
      <w:r/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противоправное виновное деяние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(действие или бездействие), обладающее признаками коррупции, за которое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законодательством установлена дисциплинарная, уголовная, гражданско-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правовая или административная ответственность;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коррупционные риски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-</w:t>
      </w:r>
      <w:r/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риски совершения коррупционного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правонарушения работником, представителем учреждения</w:t>
      </w:r>
      <w:r>
        <w:rPr>
          <w:rFonts w:ascii="Times New Roman" w:hAnsi="Times New Roman" w:eastAsia="Arial" w:cs="Times New Roman"/>
          <w:sz w:val="28"/>
          <w:szCs w:val="28"/>
        </w:rPr>
        <w:t xml:space="preserve">;</w:t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антикоррупционная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политика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комплекс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взаимосвязанных принципов, процедур и конкретных мероприятий,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направленных на профилактику и противодействие коррупции 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учреждении;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взятка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получение должностным лицом, иностранным должностным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лицом либо должностным лицом публичной международной организации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лично или через посредника денег, ценных бумаг, иного имущества либо 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виде незаконных оказания ему услуг имущественного характера,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предоставления иных имущественных прав за совершение действий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(бездействие) в пользу взяткодателя или представляемых им лиц, если такие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действия (бездействие) входят в служебные полномочия должностного лица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либо если оно в силу должностного положения может способствовать таким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действиям (бездействию), а равно за общее покровительство или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попустительство по службе.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конфликт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интересов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-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ситуация,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которой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личная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заинтересованность (прямая или косвенная) лица, замещающего должность,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замещение которой предусматривает обязанность принимать меры по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предотвращению и урегулированию конфликта интересов, влияет или может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повлиять на надлежащее, объективное и беспристрастное исполнение им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должностных (служебных) обязанностей (осуществление полномочий);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личная 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заинтересованность работника</w:t>
      </w: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 учреждения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- возможность получения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доходов в виде денег, иного имущества, в том числе имущественных прав,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услуг имущественного характера, результатов выполненных работ или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каких-либо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выгод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(преимуществ) работников учреждения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и (или) состоящими с ним в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близком родстве или свойстве лицами (родителями, супругами, детьми,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братьями, сестрами, а также братьями, сестрами, родителями, детьми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супругов и супругами детей), гражданами или организациями, с которыми работник учреждения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, и (или) лица,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состоящие с ним в близком родстве или свойстве, связаны имущественными,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корпоративными или иными близкими отношениями.</w:t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 w:line="362" w:lineRule="exact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1a1a1a"/>
          <w:sz w:val="28"/>
          <w:szCs w:val="28"/>
        </w:rPr>
        <w:t xml:space="preserve">2. Цели и принципы антикоррупционной политики</w:t>
      </w:r>
      <w:r>
        <w:rPr>
          <w:b/>
          <w:bCs/>
        </w:rPr>
      </w:r>
      <w:r/>
    </w:p>
    <w:p>
      <w:pPr>
        <w:ind w:left="0" w:right="0" w:firstLine="0"/>
        <w:spacing w:before="0" w:after="0" w:line="362" w:lineRule="exac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В соответствии со ст. 3 Федерального закона от 25.12.2008 № 273-ФЗ «О противодействии коррупции» противодействие коррупции в Российской Федерации основывается на следующих основных принципах: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2.1.1. признание, обеспечение и защита основных прав и свобод человека и гражданина;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2.1.2. законность;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2.1.3. публичность и открытость деятельности государственных органов и органов местного самоуправления;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2.1.4. неотвратимость ответственности за совершение коррупционных правонарушений;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2.1.5.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2.1.6. приоритетное применение мер по предупреждению коррупции;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2.1.7. сотрудничество государства с институтами гражданского общества, международными организациями и физическими лицами.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2.2. Основными целями антикоррупционной политики в учреждении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2.2.1. минимизация риска вовлечения работников учреждения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коррупционные правонарушения;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2.2.3.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установление обязанности работников учреждения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знать и соблюдать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нормы антикоррупционного законодательства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2.3. Система мер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противодействия коррупции в учреждении основывается на следующих ключевых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принципах: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2.3.1.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принцип соответствия антикоррупционной политики учреждения действующему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законодательству и общепринятым нормам, соответствие реализуемых антикоррупционных мероприятий Конституции Российской Федерации, заключенным Российской Федерацией международным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договорам,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Федеральному закону от 25.12.2008 № 273-ФЗ «О противодействии коррупции» и иным нормативным правовым актам, применяемым к учреждению;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2" w:lineRule="exac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2.3.2. принцип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неприятия коррупции 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в любых её формах и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проявлениях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(принцип «нулевой толерантности»)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2.3.3.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принцип личного примера руководства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культуры нетерпимости к коррупции, в создании системы предупреждения и противодействия коррупции, а также в непримиримом отношении к коррупции на всех уровнях;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2.3.4.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информированности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вовлеченности работников учреждения в антикоррупционную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(работники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2.3.5.</w:t>
      </w:r>
      <w:r>
        <w:rPr>
          <w:rFonts w:ascii="Times New Roman" w:hAnsi="Times New Roman" w:cs="Times New Roman"/>
          <w:sz w:val="28"/>
          <w:szCs w:val="28"/>
        </w:rPr>
        <w:t xml:space="preserve"> принцип соразмерности антикоррупционных процедур риску коррупции (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исполнение мероприятий,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снизить риск и вероятность вовлечения работников учреждения в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коррупционную деятельность);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2.3.6. </w:t>
      </w:r>
      <w:r>
        <w:rPr>
          <w:rFonts w:ascii="Times New Roman" w:hAnsi="Times New Roman" w:cs="Times New Roman"/>
          <w:sz w:val="28"/>
          <w:szCs w:val="28"/>
        </w:rPr>
        <w:t xml:space="preserve">принцип ответственности и неотвратимости наказания </w:t>
      </w:r>
      <w:r>
        <w:rPr>
          <w:rFonts w:ascii="Times New Roman" w:hAnsi="Times New Roman" w:cs="Times New Roman"/>
          <w:sz w:val="28"/>
          <w:szCs w:val="28"/>
        </w:rPr>
        <w:t xml:space="preserve">(неотвратимость наказания для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правонарушений, а также персональная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ственность руководства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реализацию внутриорганизационной антикоррупционной политики).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2.3.7. </w:t>
      </w:r>
      <w:r>
        <w:rPr>
          <w:rFonts w:ascii="Times New Roman" w:hAnsi="Times New Roman" w:cs="Times New Roman"/>
          <w:sz w:val="28"/>
          <w:szCs w:val="28"/>
        </w:rPr>
        <w:t xml:space="preserve">принцип постоянного контроля и регулярного мониторинга (осуществление постоянного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эффективности внедренных антикоррупционных процедур, контроль за их исполнением).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антикоррупционной политики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круг лиц, попадающих под ее 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362" w:lineRule="exact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политики, являются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работники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с ним в трудовых отношениях, вне зависимости от занимаемой должности и выполняемых функций.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Положение антикоррупционной политики могут распространяться  </w:t>
      </w:r>
      <w:r>
        <w:rPr>
          <w:rFonts w:ascii="Times New Roman" w:hAnsi="Times New Roman" w:cs="Times New Roman"/>
          <w:sz w:val="28"/>
          <w:szCs w:val="28"/>
        </w:rPr>
        <w:t xml:space="preserve">также на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  </w:t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Обязанности работников учреждения, связанные с предупреждением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0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 противодействием коррупции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left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4.1. Все работники, в</w:t>
      </w:r>
      <w:r>
        <w:rPr>
          <w:rFonts w:ascii="Times New Roman" w:hAnsi="Times New Roman" w:cs="Times New Roman"/>
          <w:sz w:val="28"/>
          <w:szCs w:val="28"/>
        </w:rPr>
        <w:t xml:space="preserve">не зависимости от занимаемой должности, стажа работы и иных условий, обязаны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4.1.1. руководствоваться положениями настоящей антикоррупционной политики и неукоснительно соблюдать ее требования и принципы;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sz w:val="28"/>
          <w:szCs w:val="28"/>
        </w:rPr>
        <w:t xml:space="preserve">не совершать и не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воздерживаться от поведения, которое может быть истолковано окружающими как </w:t>
      </w:r>
      <w:r>
        <w:rPr>
          <w:rFonts w:ascii="Times New Roman" w:hAnsi="Times New Roman" w:cs="Times New Roman"/>
          <w:sz w:val="28"/>
          <w:szCs w:val="28"/>
        </w:rPr>
        <w:t xml:space="preserve">намерение или </w:t>
      </w:r>
      <w:r>
        <w:rPr>
          <w:rFonts w:ascii="Times New Roman" w:hAnsi="Times New Roman" w:cs="Times New Roman"/>
          <w:sz w:val="28"/>
          <w:szCs w:val="28"/>
        </w:rPr>
        <w:t xml:space="preserve">готовность совершить или участвовать в совершении коррупционного правонарушения;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ind w:firstLine="708"/>
        <w:jc w:val="both"/>
        <w:spacing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4.1.4. незамедлительно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учреждения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817"/>
        <w:ind w:firstLine="708"/>
        <w:jc w:val="both"/>
        <w:spacing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4.1.4.1.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ascii="Times New Roman" w:hAnsi="Times New Roman" w:cs="Times New Roman"/>
        </w:rPr>
      </w:r>
      <w:r/>
    </w:p>
    <w:p>
      <w:pPr>
        <w:pStyle w:val="817"/>
        <w:ind w:firstLine="708"/>
        <w:jc w:val="both"/>
        <w:spacing w:line="362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4.1.4.2. 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о случаях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 совершении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 коррупционн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ого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 правонарушения другими работниками учреждения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817"/>
        <w:ind w:firstLine="708"/>
        <w:jc w:val="both"/>
        <w:spacing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4.1.4.3. 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о фактах обращения в целях склонения работника учреждения к совершению коррупционных правонарушений.</w:t>
      </w:r>
      <w:r>
        <w:rPr>
          <w:rFonts w:ascii="Times New Roman" w:hAnsi="Times New Roman" w:cs="Times New Roman"/>
        </w:rPr>
      </w:r>
      <w:r/>
    </w:p>
    <w:p>
      <w:pPr>
        <w:pStyle w:val="817"/>
        <w:ind w:firstLine="708"/>
        <w:jc w:val="both"/>
        <w:spacing w:line="36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17"/>
        <w:ind w:firstLine="708"/>
        <w:jc w:val="center"/>
        <w:spacing w:line="362" w:lineRule="exact"/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  <w:t xml:space="preserve">5. Перечень реализуемых антикоррупционных мероприятий</w:t>
      </w: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pStyle w:val="817"/>
        <w:ind w:firstLine="708"/>
        <w:jc w:val="center"/>
        <w:spacing w:line="362" w:lineRule="exact"/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  <w:r/>
    </w:p>
    <w:tbl>
      <w:tblPr>
        <w:tblW w:w="935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80"/>
        <w:gridCol w:w="64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обеспечение, закрепление стандартов поведения и декларация намерений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Кодекса этики и служебного поведения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Разработка и внедрение Положения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о комиссии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соблюдению требований к служебному поведению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урегулированию конфликта интересов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противодействию коррупции</w:t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9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антикоррупционных положений в трудовые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должностные инструкции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антикоррупционных процедур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фактах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</w:rPr>
              <w:t xml:space="preserve">обращения в целях склонения работника к совершению коррупционных правонарушений и порядка рассмотрения таких сообщений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ставшей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известной информации о случаях совершения коррупционных правонарушений другими работниками учреждения и порядка рассмотрения таких сообщений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работодателя о 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</w:rPr>
      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и порядка рассмотрения таких сообщений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информирование работников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0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vMerge w:val="restart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профилактики и противодействия коррупции на стенде учреждения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jc w:val="center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проводимой антикоррупционной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4" w:type="dxa"/>
            <w:vAlign w:val="center"/>
            <w:textDirection w:val="lrTb"/>
            <w:noWrap w:val="false"/>
          </w:tcPr>
          <w:p>
            <w:pPr>
              <w:jc w:val="both"/>
              <w:spacing w:after="0" w:line="3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17"/>
        <w:ind w:firstLine="708"/>
        <w:jc w:val="center"/>
        <w:spacing w:line="362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17"/>
        <w:ind w:firstLine="708"/>
        <w:jc w:val="center"/>
        <w:spacing w:line="362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Внедрение страндартов поведения работников</w:t>
      </w:r>
      <w:r/>
    </w:p>
    <w:p>
      <w:pPr>
        <w:pStyle w:val="817"/>
        <w:ind w:firstLine="708"/>
        <w:jc w:val="center"/>
        <w:spacing w:line="362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целях внедрения антикоррупционных стандартов поведения среди сотрудников,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 и добросовестного поведения работников и учреждения в целом.</w:t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Такие общие правила и принципы поведения закрепляются в </w:t>
      </w:r>
      <w:r>
        <w:rPr>
          <w:rFonts w:ascii="Times New Roman" w:hAnsi="Times New Roman" w:cs="Times New Roman"/>
          <w:sz w:val="28"/>
          <w:szCs w:val="28"/>
        </w:rPr>
        <w:t xml:space="preserve">Кодексе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утвержденного нормативным правовым актом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7. Выявление и урегулирование конфликта интересов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7.2. В целях установления процедуры выявления и урегулирования конфликтов интересов, возникающих у работников в ходе выполнения ими трудовых обязанностей, в учреждении утверждается Порядок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работодателя о 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/>
      <w:r/>
    </w:p>
    <w:p>
      <w:pPr>
        <w:ind w:firstLine="709"/>
        <w:jc w:val="center"/>
        <w:spacing w:after="0" w:line="362" w:lineRule="exact"/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  <w:t xml:space="preserve">8. Оценка коррупционных рисков </w:t>
      </w: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/>
      <w:r/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8.1. Целью оценки коррупционных рисков является определение конкретных процессов и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</w:t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  <w:r/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8.3. Оценка коррупционных рисков проводиться в учреждении на регулярной основе.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8.4. Порядок проведения оценки коррупционных рисков: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8.4.1. рассмотреть деятельность учреждения в виде отдельных процессов, в каждом из которых выделить составные элементы;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8.4.2. выделить «критические точки», определить элементы, при реализации которых вероятно возникновение коррупционных правонарушений;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8.4.3. составить описание возможных коррупционных правонарушений с указанием описания выгоды или преимущества, которое может быть получено учреждением или его работниками, при совершении коррупционного правонарушения, должностей в учреждении, которые являются «ключевыми» для совершения коррупционного правонарушения, вероятных форм осуществления коррупционных правонарушений;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8.4.4. разработать комплекс мер по устранению или минимизации коррупционных рисков.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b/>
          <w:bCs/>
          <w:color w:val="000000" w:themeColor="text1"/>
          <w:sz w:val="28"/>
          <w:szCs w:val="28"/>
          <w:highlight w:val="none"/>
        </w:rPr>
        <w:t xml:space="preserve">9. Консультирование и обучение работников учреждения</w:t>
      </w: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:highlight w:val="none"/>
        </w:rPr>
        <w:t xml:space="preserve"> </w:t>
      </w:r>
      <w:r/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9.1. Обучение работников учреждения может осуществляться посредством их направления в образовательные организации, реализующие программы по антикоррупционному обучению, либо самостоятельно.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 Цели и задачи определяют тематику и форму занятий.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Обучение может, в частности, проводится по следующей тематике: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9.2.1.  коррупция в государственном и частном секторе экономики;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9.2.2. юридическая ответственность за совершение коррупционных правонарушений;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9.2.3. ознакомление с требованиями законодательства по вопросам противодействия коррупции и порядком их применения;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9.2.4. выявление и разрешение конфликта интересов;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9.2.5. поведение в ситуациях коррупционного риска, в том числе, в случаях склонения к совершению коррупционного правонарушения;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9.2.6. взаимодействие с правоохранительными органами по вопросам профилактики и противодействия коррупции.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9.3. При организации обучения следует учитывать категорию обучаемых лиц. Выделяются следующие группы обучаемых: руководящие работники, лица, ответственные за противодействие коррупции в учреждении, иные работники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9.4. Консультирование по вопросам противодействия коррупции осуществляется в индивидуальном порядке. В этом случае в учреждении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10. Внутренний контроль и аудит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ind w:firstLine="709"/>
        <w:jc w:val="left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Обязанность для всех организаций осуществлять внутрений контроль хозяйственных операций установлена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от 06.12.2011 № 402-ФЗ «О бухгалтерском учете».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10.2. Система внутреннего контроля учреждения способствует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учреждения и обеспечения соответствия деятельности учреждения требованиям нормативных правовых актов и локальных нормативных актов. Для этого система внутреннего контроля и аудита учитывает требования антикоррупционной политики, реализуемой учреждением, в том числе: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10.2.1.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10.2.2. контроль документирования операций хозяйственной деятельности учреждения;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10.2.3. контроль за недопущением составления неофициальной отчетности и использования поддельных документов.</w:t>
      </w:r>
      <w:r/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10.3. Контроль документирования операций хозяйственной деятельности связан с обязанностью ведения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записи несуществующих расходов, отсутствие первичных учетных документов исправлений в документах и отчетности, уничтожения документов и отчетности ранее установленного срока.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11. Меры по предупреждению коррупции при взаимодействии организациями - контрагентами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 иными сторонними организациями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11.1. В антикоррупционной работе учреждения, осуществляемой при взаимодействии с организациями-контрагентами, выделяются два направления.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11.1.1. Первое направление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стандартам. При необходимости могут проводиться процедуры проверки контрагентов в целях снижения риска вовлечения учреждения в коррупционную деятельность и иные недобросовестные практики. Такая проверка может представлять собой сбор и анализ сведений, находящихся в открытом доступе (репутация в деловых кругах, длительность деятельности, участие в коррупционных скандалах).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11.1.2. Второе направление антикоррупционной работы при взаимодействии с организациями-контрагентами заключается в распространении среди них программ, стандартов, процедур, направленных на профилактику и противодействие коррупции, которые применяются в учреждении.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12. Сотрудничество с правоохранительными органами в сфере противодействия коррупции 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left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12.1. Сотрудничество с правоохранительными органами является важным показателем приверженности учреждения декларируемым антикоррупционным стандартам поведения.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12.2. Учреждение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12.3.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должностных обязанностей информации о подготовке или совершении коррупционного правонарушения.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12.4. Сотрудничество с правоохранительными органами также может выражаться в формах: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12.4.1. оказания содействия при проведении проверок деятельности учреждения по вопросам предупреждения и противодействия коррупции;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12.4.2. оказания содействия при проведении мероприятий по пресечению или расследованию коррупционных преступлений.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12.5. Руководству учреждения и работникам следует оказывать поддержку в выявлении и расследовании правоохранительными органами 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/>
      <w:r/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13. Ответственность работников за несоблюдение требований антикоррупционной политики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/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13.1. Учреждение и все его работники должны соблюдать нормы действующего антикоррупционного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13.2. Все работники учреждения несут ответственность, предусмотренную законодательством Российской Федерации, за несоблюдение требований настоящей антикоррупционное политики.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13.3. Лица, виновные в нарушении требований антикоррупционной политики, могут быть привлечены к дисциплинарной, административной, гражданско-правовой и уголовной ответственности.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</w:pPr>
      <w:r/>
      <w:r/>
    </w:p>
    <w:p>
      <w:pPr>
        <w:ind w:firstLine="709"/>
        <w:jc w:val="center"/>
        <w:spacing w:after="0" w:line="362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14. Порядок пересмотра и внесения изменений в антикоррупционную политику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362" w:lineRule="exact"/>
      </w:pPr>
      <w:r/>
      <w:r/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14.1. Учреждение осуществляет регулярный мониторинг эффективности реализации антинаркотической политики, по итогам рассмотрения которого в настоящую антинаркотическую политику могут быть внесены изменения и дополнения.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2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14.2. Пересмотр антинаркотической политики может проводиться в случае внесения соответствующих изменений в законодательство.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jc w:val="center"/>
    </w:pPr>
    <w:fldSimple w:instr="PAGE \* MERGEFORMAT">
      <w:r>
        <w:t xml:space="preserve">1</w:t>
      </w:r>
    </w:fldSimple>
    <w:r/>
    <w:r/>
  </w:p>
  <w:p>
    <w:pPr>
      <w:pStyle w:val="664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  <w:style w:type="paragraph" w:styleId="1_1018" w:customStyle="1">
    <w:name w:val="ConsPlusNormal"/>
    <w:next w:val="852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2022-12-21T13:45:32Z</dcterms:modified>
</cp:coreProperties>
</file>