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spacing w:after="120" w:line="240" w:lineRule="exact"/>
        <w:outlineLvl w:val="0"/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УТВЕРЖДЕН</w:t>
      </w:r>
      <w:r/>
    </w:p>
    <w:p>
      <w:pPr>
        <w:pStyle w:val="860"/>
        <w:ind w:left="0" w:right="0" w:firstLine="4252"/>
        <w:spacing w:line="240" w:lineRule="exact"/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государственного областного </w:t>
      </w:r>
      <w:r>
        <w:rPr>
          <w:sz w:val="28"/>
          <w:szCs w:val="28"/>
        </w:rPr>
      </w:r>
      <w:r/>
    </w:p>
    <w:p>
      <w:pPr>
        <w:pStyle w:val="860"/>
        <w:ind w:left="0" w:right="0" w:firstLine="4252"/>
        <w:spacing w:line="240" w:lineRule="exact"/>
      </w:pPr>
      <w:r>
        <w:rPr>
          <w:sz w:val="28"/>
          <w:szCs w:val="28"/>
        </w:rPr>
        <w:t xml:space="preserve">казенного учреждения «Государственное </w:t>
      </w:r>
      <w:r>
        <w:rPr>
          <w:sz w:val="28"/>
          <w:szCs w:val="28"/>
        </w:rPr>
      </w:r>
      <w:r/>
    </w:p>
    <w:p>
      <w:pPr>
        <w:pStyle w:val="860"/>
        <w:ind w:left="0" w:right="0" w:firstLine="425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юридическое бюро Новгородской </w:t>
      </w:r>
      <w:r>
        <w:rPr>
          <w:sz w:val="28"/>
          <w:szCs w:val="28"/>
        </w:rPr>
      </w:r>
      <w:r/>
    </w:p>
    <w:p>
      <w:pPr>
        <w:pStyle w:val="860"/>
        <w:ind w:left="0" w:right="0" w:firstLine="425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области»</w:t>
      </w:r>
      <w:r>
        <w:rPr>
          <w:sz w:val="28"/>
          <w:szCs w:val="28"/>
        </w:rPr>
        <w:t xml:space="preserve">      </w:t>
      </w:r>
      <w:r/>
    </w:p>
    <w:p>
      <w:pPr>
        <w:pStyle w:val="860"/>
        <w:ind w:left="0" w:right="0" w:firstLine="4252"/>
        <w:spacing w:line="240" w:lineRule="exact"/>
      </w:pPr>
      <w:r>
        <w:rPr>
          <w:sz w:val="28"/>
          <w:szCs w:val="28"/>
        </w:rPr>
        <w:t xml:space="preserve">от «27».12.2024 № 56-ОД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</w:t>
      </w:r>
      <w:r/>
    </w:p>
    <w:p>
      <w:pPr>
        <w:pStyle w:val="8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противодействия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государственном областном казенном учреждении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«Государственное юридическое бюро Новгородской области»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8"/>
        <w:jc w:val="lef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/>
    </w:p>
    <w:tbl>
      <w:tblPr>
        <w:tblStyle w:val="859"/>
        <w:tblW w:w="9720" w:type="dxa"/>
        <w:tblLook w:val="04A0" w:firstRow="1" w:lastRow="0" w:firstColumn="1" w:lastColumn="0" w:noHBand="0" w:noVBand="1"/>
      </w:tblPr>
      <w:tblGrid>
        <w:gridCol w:w="957"/>
        <w:gridCol w:w="4104"/>
        <w:gridCol w:w="2405"/>
        <w:gridCol w:w="2254"/>
      </w:tblGrid>
      <w:tr>
        <w:trPr/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</w:t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выполнения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</w:t>
            </w:r>
            <w:r/>
          </w:p>
        </w:tc>
      </w:tr>
      <w:tr>
        <w:trPr/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35"/>
        </w:trPr>
        <w:tc>
          <w:tcPr>
            <w:tcW w:w="957" w:type="dxa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 (проведение заседаний) комиссии по соблюдению требований к служебному поведению и урегулированию конфликта интересов, противодействию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государственном областном казенном учреждении «Государственное юридическое бюро Новгородской области» (далее комиссия, учреждение).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(проведение заседаний не реже 1 раза в год)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контроль - ежеквартально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(до 10 числа месяца, следующего за отчетным)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учреждения,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председатель и члены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разработки и утверждения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противодействия коррупции в учреждении на 2026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2025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анализа сведений о мероприятиях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проводимых учреждением в области противодействия коррупции,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отчетов о реализации плана противодействия коррупции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учреждении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ежеквартально, до 10 числа месяца, следующего за отчетным 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(отчет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квартал – до 30 декабря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68"/>
        </w:trPr>
        <w:tc>
          <w:tcPr>
            <w:tcW w:w="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</w:t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достоверности данных, предоставляемых кандидатами при приеме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работу в учреждение, проверка анкетных данных с целью выявления и предотвращения возможного конфликта интересов.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приеме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работу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учреждение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210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представителя нанимателя (работодателя)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приеме на работу бывшего государственного (муниципального) служащего.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приеме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работу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учреждение бывшего государственного (муниципального) служащего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44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кадровых сведений, предоставляемых работниками учреждения,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своевременного выявления возможного конфликта интересов.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необходимости,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(контроль – ежеквартально, до 10 числа месяца, следующего за отчетным)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444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работы по ознакомлению вновь принимаемых работников с запретами и обязанностями, установленными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законодательством в сфере противодействия коррупции, и локальными нормативными актами учреждения.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приеме 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работу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(в течение 5 рабочих дней)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учреждения, 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138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8.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изменений действующего законодательства в сфере противодействия коррупции.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 – ежеквартально (до 10 числа месяца, следующего за отчетным)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472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Разработка, утверждение и актуализация локальных нормативных актов учреждения, направленных на профилактику и противодействие коррупции. Изучение локальных актов учреждения на наличие коррупционной составляющей.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необходимости,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(контроль – ежеквартально, до 10 числа месяца, следующего за отчетным)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371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ознакомлению работников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нормативными правовыми актами,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гламентирующими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вопросы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противодействия коррупции, в том числе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 части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ограничений, касающихся получения подарков, ответственности за совершение коррупционных правонарушений, порядком увольнения в связи с утратой доверия,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также с правоприменительной практикой,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методическими рекомендациями и материалами в сфере противодействия коррупции, информирование работников о принятых локальных актах по вопросам противодействия коррупции.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lang w:val="ru-RU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ежеквартально,</w:t>
              <w:br/>
              <w:t xml:space="preserve">(контроль -до 10 числа месяца, следующего за отчетным)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4490"/>
        </w:trPr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rPr>
                <w:rFonts w:ascii="Times New Roman" w:hAnsi="Times New Roman" w:eastAsia="PT Sans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подготовки и предоставления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директором учреждения в отдел гражданской службы и кадров комитета ЗАГС и ООДМС Новгородской области (далее комитет) сведений о доходах, расходах, об имуществе и обязательствах имущественного характера в соответствии с требованиями ст.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PT Sans" w:cs="Times New Roman"/>
                <w:color w:val="000000" w:themeColor="text1"/>
                <w:sz w:val="28"/>
                <w:szCs w:val="28"/>
              </w:rPr>
              <w:t xml:space="preserve">Федерального закона </w:t>
            </w:r>
            <w:r>
              <w:rPr>
                <w:rFonts w:ascii="Times New Roman" w:hAnsi="Times New Roman" w:eastAsia="PT Sans" w:cs="Times New Roman"/>
                <w:color w:val="000000" w:themeColor="text1"/>
                <w:sz w:val="28"/>
                <w:szCs w:val="28"/>
              </w:rPr>
              <w:t xml:space="preserve">от 25.12.2008 № 273-ФЗ </w:t>
            </w:r>
            <w:r>
              <w:rPr>
                <w:rFonts w:ascii="Times New Roman" w:hAnsi="Times New Roman" w:eastAsia="PT Sans" w:cs="Times New Roman"/>
                <w:color w:val="000000" w:themeColor="text1"/>
                <w:sz w:val="28"/>
                <w:szCs w:val="28"/>
              </w:rPr>
              <w:t xml:space="preserve">«О противодействии коррупции».</w:t>
            </w:r>
            <w:r>
              <w:rPr>
                <w:rFonts w:ascii="Times New Roman" w:hAnsi="Times New Roman" w:eastAsia="PT Sans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2025 </w:t>
            </w:r>
            <w:r/>
          </w:p>
          <w:p>
            <w:pPr>
              <w:pStyle w:val="85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учреждения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30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rPr>
                <w:rFonts w:ascii="Times New Roman" w:hAnsi="Times New Roman" w:eastAsia="PT Sans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PT Sans" w:cs="Times New Roman"/>
                <w:color w:val="000000" w:themeColor="text1"/>
                <w:sz w:val="28"/>
                <w:szCs w:val="28"/>
              </w:rPr>
              <w:t xml:space="preserve"> Проведение совещаний по соблюдению работниками общих принципов служебного поведения в соответствии с правилами внутреннего трудового распорядка и Кодекса этики и служебного поведения работников учреждения.</w:t>
            </w:r>
            <w:r>
              <w:rPr>
                <w:rFonts w:ascii="Times New Roman" w:hAnsi="Times New Roman" w:eastAsia="PT Sans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полугодие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520"/>
        </w:trPr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подготовка материалов для проведения проверок в установленном порядке по фактам несоблюдения работниками учреждения запретов и ограничений, установленных в целях противодействия коррупции.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выявлении фактов, получения информации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– (ежеквартально, до 10 числа месяца, следующего за отчетным)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746"/>
        </w:trPr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мероприятий по рассмотрению уведомлений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возникновении личной заинтересованности, факте обращения в целях склонения к совершению коррупционных правонарушений, о ставшей известной информации о совершении другим работником коррупционного правонарушения.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поступлении уведомлений, контроль - ежеквартально,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(до 10 числа месяца, следующего за отчетным)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коррупции, председатель и члены комиссии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930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анализа содержания жалоб и обращений граждан, поступающих в учреждение, на предмет выявления установление фактов проявления коррупции работниками учреждения, в том числе при оказании бесплатной юридической помощи.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поступлении жалоб и обращений,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- ежеквартально (до 10 числа месяца, следующего за отчетным)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3099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Организация проведения служебных проверок по фактам коррупционных действий работников учреждения, по обращениям граждан по фактам злоупотребления служебными полномочиями работниками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поступлении уведомлений, жалоб, информации, контроль - ежеквартально,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(до 10 числа месяца, следующего за отчетным)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432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Оперативное информирование работников о результатах служебных проверок, обстоятельствах совершения коррупционных проступков и принятых мерах.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результатам служебных проверок</w:t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889"/>
        </w:trPr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18.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оценок коррупционных рисков, возникающих при реализации деятельности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принятие мер по их минимизации или устранению.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полугодие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2025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768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19.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Формирование и актуализация перечня коррупционно-опасных функций учреждения.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полугодие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</w:t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2620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20.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и уточнение должностных обязанностей сотрудников, исполнение которых в наибольшей мере несет за собой риск коррупционных нарушений, внесение соответствующих изменений и уточнений.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необходимости,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– ежеквартально (до 10 числа месяца, следующего за отчетным)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760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осуществления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5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лица, ответственного за профилактику коррупции в учреждении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не менее 1 раза в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503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Участие работников учреждения в мероприятиях, направленных на профилактику и противодействие коррупции, проводимых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общественными организациями, органами государственной власти.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 проведении мероприятий,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контроль-  ежеквартально (до 10 числа месяца, следующего за отчетным)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Директор учреждения,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385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Проведение консультативно-методического совещания, направленного на информирование работников учреждения, участвующих в закупках, о методах исключения коррупционной составляющей в их деятельности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2 раза в год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Юрисконсульт,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355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Осуществление контроля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 соблюдением законодательства Российской Федерации о контрактной системе в сфере закупок, размещением заказов в сфере закупок товаров, работ и услуг для обеспечения нужд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постоянно, контроль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(до 10 числа месяца, следующего за отчетным)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2910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Организация декларирования личной заинтересованности работников учреждения, осуществляющих деятельность по закупке товаров, работ и услуг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при осуществлении закупок,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(до 10 числа месяца, следующего за отчетным)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917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Анализ декларирования личной заинтересованности работников учреждения, осуществляющих деятельность по закупке товаров, работ и услуг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при осуществлении закупок,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(до 10 числа месяца, следующего за отчетным)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92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Проверка соответствия итогов закупки положениям контракта, неукоснительное обеспечение применения неустойки при нарушении условий контракта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в течение срока, установленного в контракте,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(до 10 числа месяца, следующего за отчетным)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355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выборочного анализа информации об участниках государственных закупок на предмет выявления возможной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ффилированности между заказчиком и поставщиком.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(до 10 числа месяца, следующего за отчетным)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2254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мер по обеспечению учета и сохранности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- ежеквартально (до 10 числа месяца, следующего за отчетным)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165"/>
        </w:trPr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по поддержанию в актуальном состоянии и обеспечению ведения раздела официального сайта учреждения в информационно – телекоммуникационной сети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«Интернет», посвященного вопросам противодействия коррупции, своевременное размещение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сведений об антикоррупционной деятельности учреждения,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реализации плана противодействия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постоянно, 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контроль - 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(до 10 числа месяца, следующего за отчетным)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учреждения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520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и наполнение информационного стенда по вопросам противодействия коррупции.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необходимости,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– ежеквартально (до 10 числа месяца, следующего за отчетным)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учреждения,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лицо, ответственное за профилактику коррупции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77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прямых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«горячих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линий» в учреждении по вопросам противодействия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отдельным графиком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65"/>
        </w:trPr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8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Осуществления контроля за качеством, полнотой и своевременностью оказания бесплатной юридической помощи работниками учреждения.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05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постоянно, контроль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(до 10 числа месяца, следующего за отчетным)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520"/>
        </w:trPr>
        <w:tc>
          <w:tcPr>
            <w:tcW w:w="957" w:type="dxa"/>
            <w:vMerge w:val="restart"/>
            <w:textDirection w:val="lrTb"/>
            <w:noWrap w:val="false"/>
          </w:tcPr>
          <w:p>
            <w:pPr>
              <w:pStyle w:val="85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85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Организация взаимодействия с правоохранительными органами при выявлении фактов коррупционных проявлений.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05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необходимости, при поступлении уведомлений</w:t>
            </w:r>
            <w:r/>
          </w:p>
        </w:tc>
        <w:tc>
          <w:tcPr>
            <w:tcW w:w="2254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учреждения</w:t>
            </w:r>
            <w:r>
              <w:rPr>
                <w:color w:val="000000" w:themeColor="text1"/>
              </w:rPr>
            </w:r>
            <w:r/>
          </w:p>
          <w:p>
            <w:pPr>
              <w:pStyle w:val="85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</w:tr>
    </w:tbl>
    <w:p>
      <w:r/>
      <w:r/>
    </w:p>
    <w:p>
      <w:pPr>
        <w:jc w:val="center"/>
      </w:pPr>
      <w:r/>
      <w:r/>
    </w:p>
    <w:p>
      <w:r/>
      <w:r/>
    </w:p>
    <w:p>
      <w:r/>
      <w:r/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</w:pPr>
    <w:fldSimple w:instr="PAGE \* MERGEFORMAT">
      <w:r>
        <w:t xml:space="preserve">1</w:t>
      </w:r>
    </w:fldSimple>
    <w:r/>
    <w:r/>
  </w:p>
  <w:p>
    <w:pPr>
      <w:pStyle w:val="7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Title"/>
    <w:basedOn w:val="854"/>
    <w:next w:val="854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4"/>
    <w:next w:val="854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4"/>
    <w:next w:val="854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4"/>
    <w:next w:val="854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5"/>
    <w:link w:val="705"/>
    <w:uiPriority w:val="99"/>
  </w:style>
  <w:style w:type="paragraph" w:styleId="707">
    <w:name w:val="Footer"/>
    <w:basedOn w:val="854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No Spacing"/>
    <w:uiPriority w:val="1"/>
    <w:qFormat/>
    <w:pPr>
      <w:spacing w:after="0" w:line="240" w:lineRule="auto"/>
    </w:pPr>
  </w:style>
  <w:style w:type="table" w:styleId="859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revision>25</cp:revision>
  <dcterms:created xsi:type="dcterms:W3CDTF">2022-10-11T13:13:00Z</dcterms:created>
  <dcterms:modified xsi:type="dcterms:W3CDTF">2025-01-10T14:11:42Z</dcterms:modified>
</cp:coreProperties>
</file>