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939" cy="652061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rcRect l="-173" t="-144" r="-173" b="-144"/>
                        <a:stretch/>
                      </pic:blipFill>
                      <pic:spPr bwMode="auto">
                        <a:xfrm>
                          <a:off x="0" y="0"/>
                          <a:ext cx="546939" cy="652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1pt;height:51.3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22"/>
        </w:rPr>
      </w:r>
      <w:r/>
    </w:p>
    <w:p>
      <w:pPr>
        <w:pStyle w:val="855"/>
        <w:ind w:left="-142" w:right="140" w:firstLine="0"/>
        <w:jc w:val="center"/>
        <w:rPr>
          <w:b/>
          <w:sz w:val="22"/>
        </w:rPr>
      </w:pPr>
      <w:r>
        <w:rPr>
          <w:b/>
          <w:sz w:val="22"/>
        </w:rPr>
      </w:r>
      <w:r/>
    </w:p>
    <w:p>
      <w:pPr>
        <w:pStyle w:val="855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Российская Федерация</w:t>
      </w:r>
      <w:r>
        <w:rPr>
          <w:b/>
        </w:rPr>
      </w:r>
      <w:r/>
    </w:p>
    <w:p>
      <w:pPr>
        <w:pStyle w:val="855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  <w:t xml:space="preserve">Новгородская область</w:t>
      </w:r>
      <w:r>
        <w:rPr>
          <w:b/>
        </w:rPr>
      </w:r>
      <w:r/>
    </w:p>
    <w:p>
      <w:pPr>
        <w:pStyle w:val="855"/>
        <w:ind w:left="-142" w:right="14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55"/>
        <w:ind w:left="0" w:right="0" w:firstLine="0"/>
        <w:jc w:val="center"/>
        <w:spacing w:line="240" w:lineRule="auto"/>
        <w:rPr>
          <w:b/>
        </w:rPr>
      </w:pPr>
      <w:r>
        <w:rPr>
          <w:b/>
        </w:rPr>
        <w:t xml:space="preserve">Комитет записи актов гражданского состояния и организационного обеспечения деятельности мировых судей Новгородской области</w:t>
      </w:r>
      <w:r>
        <w:rPr>
          <w:b/>
        </w:rPr>
      </w:r>
      <w:r/>
    </w:p>
    <w:p>
      <w:pPr>
        <w:pStyle w:val="855"/>
        <w:ind w:left="0" w:right="0" w:firstLine="0"/>
        <w:jc w:val="center"/>
        <w:spacing w:line="240" w:lineRule="auto"/>
        <w:rPr>
          <w:b/>
        </w:rPr>
      </w:pPr>
      <w:r>
        <w:rPr>
          <w:b/>
        </w:rPr>
      </w:r>
      <w:r/>
    </w:p>
    <w:p>
      <w:pPr>
        <w:pStyle w:val="897"/>
        <w:ind w:left="-142" w:right="142" w:firstLine="0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ОБЛАСТНОЕ КАЗЕННОЕ УЧРЕЖДЕНИЕ «ГОСУДАРСТВЕННОЕ ЮРИДИЧЕСКОЕ БЮРО </w:t>
      </w:r>
      <w:r>
        <w:rPr>
          <w:rFonts w:ascii="Times New Roman" w:hAnsi="Times New Roman" w:cs="Times New Roman"/>
          <w:b/>
          <w:sz w:val="28"/>
        </w:rPr>
      </w:r>
      <w:r/>
    </w:p>
    <w:p>
      <w:pPr>
        <w:pStyle w:val="897"/>
        <w:ind w:left="-142" w:right="142" w:firstLine="0"/>
        <w:jc w:val="center"/>
        <w:spacing w:line="240" w:lineRule="auto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НОВГОРОДСКОЙ ОБЛАСТИ» </w:t>
      </w:r>
      <w:r>
        <w:rPr>
          <w:b/>
        </w:rPr>
      </w:r>
      <w:r/>
    </w:p>
    <w:p>
      <w:pPr>
        <w:ind w:left="-142" w:right="140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w:rPr>
          <w:b/>
          <w:bCs/>
          <w:sz w:val="24"/>
          <w:szCs w:val="24"/>
        </w:rPr>
      </w:r>
      <w:r/>
    </w:p>
    <w:p>
      <w:pPr>
        <w:pStyle w:val="855"/>
        <w:ind w:left="-142" w:right="140"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/>
    </w:p>
    <w:p>
      <w:pPr>
        <w:pStyle w:val="855"/>
        <w:ind w:left="0" w:right="140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855"/>
        <w:ind w:left="-142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09» января</w:t>
      </w:r>
      <w:r>
        <w:rPr>
          <w:sz w:val="28"/>
          <w:szCs w:val="28"/>
        </w:rPr>
        <w:t xml:space="preserve"> 2025 года                                                                                 № </w:t>
      </w:r>
      <w:r>
        <w:rPr>
          <w:sz w:val="28"/>
          <w:szCs w:val="28"/>
        </w:rPr>
        <w:t xml:space="preserve">2-ОД    </w:t>
      </w:r>
      <w:r>
        <w:rPr>
          <w:sz w:val="28"/>
          <w:szCs w:val="28"/>
        </w:rPr>
      </w:r>
      <w:r/>
    </w:p>
    <w:p>
      <w:pPr>
        <w:pStyle w:val="855"/>
        <w:ind w:left="-142" w:right="140" w:firstLine="0"/>
        <w:jc w:val="both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pStyle w:val="855"/>
        <w:ind w:left="-142" w:right="14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Великий Новгород</w:t>
      </w:r>
      <w:r>
        <w:rPr>
          <w:sz w:val="28"/>
          <w:szCs w:val="28"/>
        </w:rPr>
      </w:r>
      <w:r/>
    </w:p>
    <w:p>
      <w:pPr>
        <w:pStyle w:val="855"/>
        <w:ind w:left="-142" w:right="140" w:firstLine="0"/>
        <w:jc w:val="center"/>
        <w:rPr>
          <w:b/>
          <w:sz w:val="28"/>
          <w:szCs w:val="28"/>
        </w:rPr>
      </w:pPr>
      <w:r>
        <w:rPr>
          <w:sz w:val="32"/>
          <w:szCs w:val="32"/>
        </w:rPr>
      </w:r>
      <w:r>
        <w:rPr>
          <w:sz w:val="28"/>
          <w:szCs w:val="28"/>
        </w:rPr>
        <w:tab/>
        <w:tab/>
      </w:r>
      <w:r>
        <w:rPr>
          <w:b/>
          <w:sz w:val="28"/>
          <w:szCs w:val="28"/>
        </w:rPr>
      </w:r>
      <w:r/>
    </w:p>
    <w:p>
      <w:pPr>
        <w:ind w:left="193" w:right="192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уведомления работодателя работником государственного областного казенного учреждения «Государственное юридическое бюро Новгородской области» о намерении выполнять иную оплаченную работу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</w:r>
      <w:r>
        <w:rPr>
          <w:b/>
          <w:bCs/>
        </w:rPr>
      </w:r>
    </w:p>
    <w:p>
      <w:pPr>
        <w:ind w:left="193" w:right="192"/>
        <w:jc w:val="center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  <w:outlineLvl w:val="1"/>
      </w:pPr>
      <w:r>
        <w:rPr>
          <w:rFonts w:ascii="Times New Roman" w:hAnsi="Times New Roman" w:cs="Times New Roman"/>
          <w:b/>
          <w:bCs/>
          <w:sz w:val="16"/>
          <w:szCs w:val="16"/>
          <w:highlight w:val="none"/>
          <w:lang w:val="ru-RU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/>
    </w:p>
    <w:p>
      <w:pPr>
        <w:pStyle w:val="855"/>
        <w:ind w:firstLine="709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13.3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 декабря 2008 года № 273-ФЗ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 пунктом  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Устава государственного областного казенного учреждения, утвержденного приказом комитета записи актов гражданского состояния и организационного обеспечения деятельности мировых судей Новгородской области №</w:t>
      </w:r>
      <w:r>
        <w:rPr>
          <w:sz w:val="28"/>
          <w:szCs w:val="28"/>
        </w:rPr>
        <w:t xml:space="preserve"> 205-ОД от 08 сентября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</w:r>
      <w:r/>
    </w:p>
    <w:p>
      <w:pPr>
        <w:pStyle w:val="907"/>
        <w:ind w:left="0" w:right="0" w:firstLine="0"/>
        <w:jc w:val="both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907"/>
        <w:ind w:left="0" w:right="0" w:firstLine="0"/>
        <w:jc w:val="both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ПРИКАЗЫВАЮ:</w:t>
      </w:r>
      <w:r/>
    </w:p>
    <w:p>
      <w:pPr>
        <w:pStyle w:val="907"/>
        <w:ind w:left="0" w:right="0" w:firstLine="0"/>
        <w:jc w:val="both"/>
        <w:spacing w:line="240" w:lineRule="auto"/>
      </w:pPr>
      <w:r/>
      <w:r/>
    </w:p>
    <w:p>
      <w:pPr>
        <w:pStyle w:val="694"/>
        <w:numPr>
          <w:ilvl w:val="0"/>
          <w:numId w:val="4"/>
        </w:numPr>
        <w:ind w:left="0" w:right="1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</w:rPr>
        <w:outlineLvl w:val="1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Утвердить прилагаемый Порядок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уведомления работодателя работником государственного областного казенного учреждения «Государственное юридическое бюро Новгородской области» о намерении выполнять иную оплаченную работу (Приложение 1) и форму уведомления (Приложение 2)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55"/>
        <w:ind w:left="0" w:right="1" w:firstLine="708"/>
        <w:jc w:val="both"/>
        <w:spacing w:line="28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Довести приказ и утвержденный им Порядок до сведения работников учреждения, в части их касающейся.</w:t>
      </w:r>
      <w:r>
        <w:rPr>
          <w:sz w:val="28"/>
          <w:szCs w:val="26"/>
        </w:rPr>
      </w:r>
      <w:r/>
    </w:p>
    <w:p>
      <w:pPr>
        <w:pStyle w:val="855"/>
        <w:ind w:left="0" w:right="1" w:firstLine="708"/>
        <w:jc w:val="both"/>
        <w:spacing w:line="283" w:lineRule="atLeast"/>
      </w:pPr>
      <w:r>
        <w:rPr>
          <w:sz w:val="28"/>
          <w:szCs w:val="28"/>
        </w:rPr>
        <w:t xml:space="preserve">3.  Контроль за исполнением приказа оставляю за собой.</w:t>
      </w:r>
      <w:r>
        <w:rPr>
          <w:sz w:val="28"/>
          <w:szCs w:val="28"/>
        </w:rPr>
      </w:r>
      <w:r/>
    </w:p>
    <w:p>
      <w:pPr>
        <w:pStyle w:val="855"/>
        <w:ind w:left="0" w:right="14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5"/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Директор                                                                                               Н.А. Панов</w:t>
      </w:r>
      <w:r>
        <w:rPr>
          <w:b/>
          <w:bCs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ind w:left="0" w:right="-2" w:firstLine="0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     </w:t>
      </w:r>
      <w:r>
        <w:rPr>
          <w:rFonts w:eastAsia="Calibri"/>
          <w:sz w:val="28"/>
          <w:szCs w:val="28"/>
          <w:lang w:eastAsia="en-US"/>
        </w:rPr>
      </w:r>
    </w:p>
    <w:p>
      <w:pPr>
        <w:ind w:left="3540" w:right="-2" w:firstLine="708"/>
        <w:jc w:val="both"/>
        <w:spacing w:line="240" w:lineRule="auto"/>
        <w:rPr>
          <w:rFonts w:eastAsia="Calibri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highlight w:val="none"/>
        </w:rPr>
        <w:t xml:space="preserve">      Приложение 1 </w:t>
      </w:r>
      <w:r>
        <w:rPr>
          <w:rFonts w:eastAsia="Calibri"/>
          <w:sz w:val="28"/>
          <w:szCs w:val="28"/>
          <w:lang w:eastAsia="en-US"/>
        </w:rPr>
        <w:t xml:space="preserve">к приказу ГОКУ           </w:t>
      </w:r>
      <w:r/>
      <w:r/>
    </w:p>
    <w:p>
      <w:pPr>
        <w:ind w:left="3540" w:right="-2" w:firstLine="708"/>
        <w:jc w:val="both"/>
        <w:spacing w:line="240" w:lineRule="auto"/>
        <w:rPr>
          <w:b w:val="0"/>
          <w:bCs w:val="0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      «Государственное </w:t>
      </w: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</w:t>
      </w:r>
      <w:r>
        <w:rPr>
          <w:sz w:val="28"/>
          <w:szCs w:val="28"/>
        </w:rPr>
        <w:t xml:space="preserve">»</w:t>
      </w:r>
      <w:r/>
    </w:p>
    <w:p>
      <w:pPr>
        <w:pStyle w:val="855"/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«09».01.2025</w:t>
      </w:r>
      <w:r>
        <w:rPr>
          <w:rFonts w:eastAsia="Calibri"/>
          <w:sz w:val="28"/>
          <w:szCs w:val="28"/>
          <w:lang w:eastAsia="en-US"/>
        </w:rPr>
        <w:t xml:space="preserve"> № 2-ОД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16"/>
          <w:szCs w:val="16"/>
          <w:highlight w:val="none"/>
        </w:rPr>
      </w:pPr>
      <w:r>
        <w:rPr>
          <w:b/>
          <w:bCs/>
          <w:sz w:val="16"/>
          <w:szCs w:val="16"/>
          <w:highlight w:val="none"/>
        </w:rPr>
      </w:r>
      <w:r>
        <w:rPr>
          <w:b/>
          <w:bCs/>
          <w:sz w:val="16"/>
          <w:szCs w:val="16"/>
          <w:highlight w:val="none"/>
        </w:rPr>
      </w:r>
      <w:r/>
    </w:p>
    <w:p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 xml:space="preserve">УВЕДОМЛЕНИЯ РАБОТОДАТЕЛЯ</w:t>
      </w:r>
      <w:r>
        <w:rPr>
          <w:b/>
          <w:sz w:val="28"/>
          <w:szCs w:val="28"/>
        </w:rPr>
        <w:t xml:space="preserve"> РАБОТНИКОМ ГОСУДАРСТВЕННОГО ОБЛАСТНОГО КАЗЕННОГО УЧРЕЖДЕНИЯ «ГОСУДАРСТВЕННОЕ ЮРИДИЧЕСКОЕ БЮРО НОВГОРОДСКОЙ ОБЛАСТИ»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НАМЕРЕНИИ ВЫПОЛНЯТЬ ИНУЮ ОПЛАЧЕННУЮ РАБОТУ</w:t>
      </w:r>
      <w:r>
        <w:rPr>
          <w:b/>
          <w:sz w:val="28"/>
          <w:szCs w:val="28"/>
        </w:rPr>
      </w:r>
      <w:r/>
    </w:p>
    <w:p>
      <w:pPr>
        <w:jc w:val="left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ind w:left="0" w:right="-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Федерального закона от 25.12.2008 № 273-ФЗ «О противодействии коррупции» с целью предотвращения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работником государственного областного казенного учреждения «Государственное юридическое бюро Новгородской области» (далее учреждение) о намерении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работу.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2. Работник учреждения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  <w:r>
        <w:rPr>
          <w:sz w:val="28"/>
          <w:szCs w:val="28"/>
        </w:rPr>
      </w:r>
      <w:r/>
    </w:p>
    <w:p>
      <w:pPr>
        <w:pStyle w:val="913"/>
        <w:ind w:left="0" w:right="-1"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Под конфликтом интересов, с соответствии с частью 1 статьи 10 Федерального закона от </w:t>
      </w:r>
      <w:r>
        <w:rPr>
          <w:sz w:val="28"/>
          <w:szCs w:val="28"/>
        </w:rPr>
        <w:t xml:space="preserve">25 декабря 2008 года № 273-ФЗ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 </w:t>
      </w:r>
      <w:r>
        <w:rPr>
          <w:rFonts w:ascii="Montserrat" w:hAnsi="Montserrat"/>
          <w:color w:val="111111"/>
          <w:sz w:val="28"/>
          <w:szCs w:val="28"/>
        </w:rPr>
      </w:r>
      <w:r/>
    </w:p>
    <w:p>
      <w:pPr>
        <w:pStyle w:val="913"/>
        <w:ind w:left="0" w:right="-1" w:firstLine="709"/>
        <w:jc w:val="both"/>
        <w:spacing w:before="0" w:beforeAutospacing="0" w:after="0" w:afterAutospacing="0"/>
        <w:shd w:val="clear" w:color="auto" w:fill="ffffff"/>
        <w:rPr>
          <w:rFonts w:ascii="Montserrat" w:hAnsi="Montserrat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Под личной заинтересованностью,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 соответствии с частью 2 статьи 10 Федерального закона от </w:t>
      </w:r>
      <w:r>
        <w:rPr>
          <w:sz w:val="28"/>
          <w:szCs w:val="28"/>
        </w:rPr>
        <w:t xml:space="preserve">25 декабря 2008 года № 273-ФЗ «</w:t>
      </w:r>
      <w:r>
        <w:rPr>
          <w:sz w:val="28"/>
          <w:szCs w:val="28"/>
        </w:rPr>
        <w:t xml:space="preserve">О противодействии коррупции</w:t>
      </w:r>
      <w:r>
        <w:rPr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понимается возм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 части 1 статьи 10 Федерального закона «О коррупции»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указанное в части 1 статьи 10 Федерального закона «О коррупции»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и (или) лица, состоящие с ним в близком родстве или свойстве, связаны имущественными, корпоративными или иными близкими отношениями.</w:t>
      </w:r>
      <w:r>
        <w:rPr>
          <w:sz w:val="28"/>
          <w:szCs w:val="28"/>
        </w:rPr>
      </w:r>
      <w:r/>
    </w:p>
    <w:p>
      <w:pPr>
        <w:pStyle w:val="69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Выполнение работником учреждения иной регулярной оплачиваемой работы должно осуществляться </w:t>
      </w:r>
      <w:r>
        <w:rPr>
          <w:sz w:val="28"/>
          <w:szCs w:val="28"/>
        </w:rPr>
        <w:t xml:space="preserve">в свободное от основной работы время в соответствии с требованиями трудового законодательства о работе</w:t>
      </w:r>
      <w:r>
        <w:rPr>
          <w:sz w:val="28"/>
          <w:szCs w:val="28"/>
        </w:rPr>
        <w:t xml:space="preserve"> по совместительству.</w:t>
      </w:r>
      <w:r>
        <w:rPr>
          <w:sz w:val="28"/>
          <w:szCs w:val="28"/>
        </w:rPr>
      </w:r>
      <w:r/>
    </w:p>
    <w:p>
      <w:pPr>
        <w:pStyle w:val="695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5. Работник учреждения, планирующий выполнять иную оплачиваемую работу, направляет работодателю уведомление в письменной </w:t>
      </w:r>
      <w:r>
        <w:rPr>
          <w:sz w:val="28"/>
          <w:szCs w:val="28"/>
        </w:rPr>
        <w:t xml:space="preserve">форме</w:t>
      </w:r>
      <w:r>
        <w:rPr>
          <w:sz w:val="28"/>
          <w:szCs w:val="28"/>
          <w:lang w:val="ru-RU"/>
        </w:rPr>
        <w:t xml:space="preserve"> (Приложение 1)</w:t>
      </w:r>
      <w:r>
        <w:rPr>
          <w:sz w:val="28"/>
          <w:szCs w:val="28"/>
        </w:rPr>
        <w:t xml:space="preserve">. Регистрация уведомления осуществляется в день их поступления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6. Предварительное уведомление о предстоящем выполнении иной оплачиваемой работы должно быть направлено до начала выполнения иной оплачиваемой работы и содержать: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наименование и характеристику деятельности организации (учреждения), в котором предполагается осуществлять иную оплачиваемую работу;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наименование должности по иной оплачиваемой работе, основные обязанности, описание характера работы;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предполагаемый график занятости (сроки и время выполнения иной оплачиваемой работы).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7. Руководитель учреждения в бланке уведомления подтверждает, что выполнение работником иной оплачиваемой работы не прив</w:t>
      </w:r>
      <w:r>
        <w:rPr>
          <w:sz w:val="28"/>
          <w:szCs w:val="28"/>
        </w:rPr>
        <w:t xml:space="preserve">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8. В случае если руководит</w:t>
      </w:r>
      <w:r>
        <w:rPr>
          <w:sz w:val="28"/>
          <w:szCs w:val="28"/>
        </w:rPr>
        <w:t xml:space="preserve">ель учреждения или работодатель возражает против выполнения работников иной оплачиваемой работы, в бланке уведомления он обосновывает свое мнение о том, что иная оплачиваемая работа работника может привести к конфликту интересов.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Предварительное уведомление работника  о выполнении иной оплачиваемой работы в течение трех рабочих дней направляется в комиссию по соблюдению требований к служебному поведению и урегулированию конфликта интересов, противодействия коррупции в учреждении.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10. По итогам рассмотрения уведомления комиссия принимает одно из двух решений: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установлено, что в рассматриваемом случае не содержится признаков личной заинтересованности работника, которая может привести к конфликту интересов;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</w:rPr>
      </w:pPr>
      <w:r>
        <w:rPr>
          <w:sz w:val="28"/>
          <w:szCs w:val="28"/>
        </w:rPr>
        <w:t xml:space="preserve">установлен факт наличия личной заинтересованности работника, которая приводит или может привести к конфликту интересов.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11. В случае изменения графика выполнения иной оплачиваемой работы, а также иных обстоятельств, связанных с выполнением такой работы, работник уведомляет работодателя в соответствии с настоящим Порядком.</w:t>
      </w:r>
      <w:r>
        <w:rPr>
          <w:sz w:val="28"/>
          <w:szCs w:val="28"/>
        </w:rPr>
      </w:r>
      <w:r/>
    </w:p>
    <w:p>
      <w:pPr>
        <w:ind w:left="0" w:right="-1" w:firstLine="709"/>
        <w:jc w:val="both"/>
        <w:rPr>
          <w:rFonts w:ascii="Montserrat" w:hAnsi="Montserrat"/>
          <w:b/>
          <w:bCs/>
          <w:color w:val="111111"/>
          <w:sz w:val="28"/>
          <w:szCs w:val="28"/>
        </w:rPr>
      </w:pPr>
      <w:r>
        <w:rPr>
          <w:rFonts w:ascii="Montserrat" w:hAnsi="Montserrat"/>
          <w:b/>
          <w:bCs/>
          <w:color w:val="111111"/>
          <w:sz w:val="28"/>
          <w:szCs w:val="28"/>
        </w:rPr>
      </w:r>
      <w:r>
        <w:rPr>
          <w:rFonts w:ascii="Montserrat" w:hAnsi="Montserrat"/>
          <w:b/>
          <w:bCs/>
          <w:color w:val="111111"/>
          <w:sz w:val="28"/>
          <w:szCs w:val="28"/>
        </w:rPr>
      </w:r>
      <w:r/>
    </w:p>
    <w:p>
      <w:pPr>
        <w:ind w:left="0" w:right="-1" w:firstLine="709"/>
        <w:jc w:val="both"/>
        <w:rPr>
          <w:rFonts w:ascii="Montserrat" w:hAnsi="Montserrat"/>
          <w:b/>
          <w:bCs/>
          <w:color w:val="111111"/>
          <w:sz w:val="28"/>
          <w:szCs w:val="28"/>
        </w:rPr>
      </w:pPr>
      <w:r>
        <w:rPr>
          <w:rFonts w:ascii="Montserrat" w:hAnsi="Montserrat"/>
          <w:b/>
          <w:bCs/>
          <w:color w:val="111111"/>
          <w:sz w:val="28"/>
          <w:szCs w:val="28"/>
        </w:rPr>
      </w:r>
      <w:r>
        <w:rPr>
          <w:rFonts w:ascii="Montserrat" w:hAnsi="Montserrat"/>
          <w:b/>
          <w:bCs/>
          <w:color w:val="111111"/>
          <w:sz w:val="28"/>
          <w:szCs w:val="28"/>
        </w:rPr>
      </w:r>
      <w:r/>
    </w:p>
    <w:p>
      <w:pPr>
        <w:ind w:left="0" w:right="-1" w:firstLine="709"/>
        <w:jc w:val="both"/>
        <w:rPr>
          <w:rFonts w:ascii="Montserrat" w:hAnsi="Montserrat"/>
          <w:b/>
          <w:bCs/>
          <w:color w:val="111111"/>
          <w:sz w:val="28"/>
          <w:szCs w:val="28"/>
        </w:rPr>
      </w:pPr>
      <w:r>
        <w:rPr>
          <w:rFonts w:ascii="Montserrat" w:hAnsi="Montserrat"/>
          <w:b/>
          <w:bCs/>
          <w:color w:val="111111"/>
          <w:sz w:val="28"/>
          <w:szCs w:val="28"/>
        </w:rPr>
      </w:r>
      <w:r>
        <w:rPr>
          <w:rFonts w:ascii="Montserrat" w:hAnsi="Montserrat"/>
          <w:b/>
          <w:bCs/>
          <w:color w:val="111111"/>
          <w:sz w:val="28"/>
          <w:szCs w:val="28"/>
        </w:rPr>
      </w:r>
    </w:p>
    <w:p>
      <w:pPr>
        <w:ind w:left="0" w:right="-1" w:firstLine="0"/>
        <w:jc w:val="both"/>
        <w:rPr>
          <w:rFonts w:ascii="Montserrat" w:hAnsi="Montserrat"/>
          <w:b/>
          <w:bCs/>
          <w:color w:val="111111"/>
          <w:sz w:val="28"/>
          <w:szCs w:val="28"/>
        </w:rPr>
      </w:pPr>
      <w:r>
        <w:rPr>
          <w:rFonts w:ascii="Montserrat" w:hAnsi="Montserrat"/>
          <w:b/>
          <w:bCs/>
          <w:color w:val="111111"/>
          <w:sz w:val="28"/>
          <w:szCs w:val="28"/>
        </w:rPr>
      </w:r>
      <w:r>
        <w:rPr>
          <w:rFonts w:ascii="Montserrat" w:hAnsi="Montserrat"/>
          <w:b/>
          <w:bCs/>
          <w:color w:val="111111"/>
          <w:sz w:val="28"/>
          <w:szCs w:val="28"/>
        </w:rPr>
      </w:r>
    </w:p>
    <w:p>
      <w:pPr>
        <w:ind w:left="0" w:right="-1" w:firstLine="0"/>
        <w:jc w:val="both"/>
        <w:rPr>
          <w:rFonts w:ascii="Montserrat" w:hAnsi="Montserrat"/>
          <w:b/>
          <w:bCs/>
          <w:color w:val="111111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3540" w:right="-2" w:firstLine="708"/>
        <w:jc w:val="both"/>
        <w:spacing w:line="240" w:lineRule="auto"/>
      </w:pPr>
      <w:r>
        <w:rPr>
          <w:b w:val="0"/>
          <w:bCs w:val="0"/>
          <w:sz w:val="28"/>
          <w:szCs w:val="28"/>
          <w:highlight w:val="none"/>
        </w:rPr>
        <w:t xml:space="preserve">      Приложение 2 </w:t>
      </w:r>
      <w:r>
        <w:rPr>
          <w:rFonts w:eastAsia="Calibri"/>
          <w:sz w:val="28"/>
          <w:szCs w:val="28"/>
          <w:lang w:eastAsia="en-US"/>
        </w:rPr>
        <w:t xml:space="preserve">к приказу ГОКУ           </w:t>
      </w:r>
      <w:r/>
    </w:p>
    <w:p>
      <w:pPr>
        <w:ind w:left="3540" w:right="-2" w:firstLine="708"/>
        <w:jc w:val="both"/>
        <w:spacing w:line="240" w:lineRule="auto"/>
      </w:pPr>
      <w:r>
        <w:rPr>
          <w:rFonts w:eastAsia="Calibri"/>
          <w:sz w:val="28"/>
          <w:szCs w:val="28"/>
          <w:lang w:eastAsia="en-US"/>
        </w:rPr>
        <w:t xml:space="preserve">      «Государственное </w:t>
      </w:r>
      <w:r>
        <w:rPr>
          <w:rFonts w:eastAsia="Calibri"/>
          <w:sz w:val="28"/>
          <w:szCs w:val="28"/>
          <w:lang w:eastAsia="en-US"/>
        </w:rPr>
        <w:t xml:space="preserve">юридическое бюро </w:t>
      </w:r>
      <w:r>
        <w:rPr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4677"/>
        <w:jc w:val="left"/>
      </w:pPr>
      <w:r>
        <w:rPr>
          <w:rFonts w:eastAsia="Calibri"/>
          <w:sz w:val="28"/>
          <w:szCs w:val="28"/>
          <w:lang w:eastAsia="en-US"/>
        </w:rPr>
        <w:t xml:space="preserve">Новгородской области</w:t>
      </w:r>
      <w:r>
        <w:rPr>
          <w:sz w:val="28"/>
          <w:szCs w:val="28"/>
        </w:rPr>
        <w:t xml:space="preserve">»</w:t>
      </w:r>
      <w:r/>
    </w:p>
    <w:p>
      <w:pPr>
        <w:pStyle w:val="855"/>
        <w:ind w:left="0" w:right="0" w:firstLine="4677"/>
        <w:jc w:val="left"/>
        <w:rPr>
          <w:rFonts w:eastAsia="Calibri"/>
          <w:b w:val="0"/>
          <w:bCs w:val="0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т</w:t>
      </w:r>
      <w:r>
        <w:rPr>
          <w:rFonts w:eastAsia="Calibri"/>
          <w:sz w:val="28"/>
          <w:szCs w:val="28"/>
          <w:lang w:eastAsia="en-US"/>
        </w:rPr>
        <w:t xml:space="preserve"> «09».01.2025</w:t>
      </w:r>
      <w:r>
        <w:rPr>
          <w:rFonts w:eastAsia="Calibri"/>
          <w:sz w:val="28"/>
          <w:szCs w:val="28"/>
          <w:lang w:eastAsia="en-US"/>
        </w:rPr>
        <w:t xml:space="preserve"> № 2-ОД</w:t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pStyle w:val="91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ФОРМА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1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уведомления о намерении выполнять иную оплачиваемую работу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b/>
          <w:bCs/>
        </w:rPr>
      </w:r>
    </w:p>
    <w:p>
      <w:pPr>
        <w:pStyle w:val="911"/>
        <w:ind w:left="439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1"/>
        <w:ind w:left="439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/>
    </w:p>
    <w:p>
      <w:pPr>
        <w:pStyle w:val="911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руководителя)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должности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/>
    </w:p>
    <w:p>
      <w:pPr>
        <w:pStyle w:val="911"/>
        <w:ind w:left="439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работника учреждения)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11"/>
        <w:ind w:left="4395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/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911"/>
        <w:ind w:left="4395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работника учреждения)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left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5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Уведомление</w:t>
      </w:r>
      <w:r>
        <w:rPr>
          <w:b/>
          <w:sz w:val="28"/>
          <w:szCs w:val="28"/>
        </w:rPr>
      </w:r>
      <w:r/>
    </w:p>
    <w:p>
      <w:pPr>
        <w:pStyle w:val="855"/>
        <w:jc w:val="center"/>
      </w:pPr>
      <w:r>
        <w:rPr>
          <w:b/>
          <w:sz w:val="28"/>
          <w:szCs w:val="28"/>
        </w:rPr>
        <w:t xml:space="preserve">о намерении выполнять иную оплачиваемую работу</w:t>
      </w:r>
      <w:r>
        <w:rPr>
          <w:b/>
          <w:sz w:val="28"/>
          <w:szCs w:val="28"/>
        </w:rPr>
      </w:r>
      <w:r/>
    </w:p>
    <w:p>
      <w:pPr>
        <w:pStyle w:val="855"/>
        <w:jc w:val="center"/>
      </w:pPr>
      <w:r/>
      <w:r/>
      <w:r/>
    </w:p>
    <w:p>
      <w:pPr>
        <w:pStyle w:val="855"/>
        <w:jc w:val="center"/>
      </w:pPr>
      <w:r/>
      <w:r/>
      <w:r/>
    </w:p>
    <w:p>
      <w:pPr>
        <w:pStyle w:val="855"/>
        <w:ind w:firstLine="709"/>
        <w:jc w:val="both"/>
        <w:spacing w:line="283" w:lineRule="atLeast"/>
      </w:pPr>
      <w:r>
        <w:rPr>
          <w:sz w:val="28"/>
          <w:szCs w:val="28"/>
        </w:rPr>
        <w:t xml:space="preserve">В соответствии со ст. 13.3 Федерального закона от 25 декабря 2008 года </w:t>
      </w:r>
      <w:r>
        <w:rPr>
          <w:sz w:val="28"/>
          <w:szCs w:val="28"/>
        </w:rPr>
        <w:t xml:space="preserve">№ 273-ФЗ «О противодействии коррупции», уведомляю Вас о том, что я намерен(а) выполнять иную оплачиваемую работу (указать сведения о деятельности, которую собирается осуществлять работник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место работы, должность, должностные обязан</w:t>
      </w:r>
      <w:r>
        <w:rPr>
          <w:sz w:val="28"/>
          <w:szCs w:val="28"/>
        </w:rPr>
        <w:t xml:space="preserve">ности, предполагаемую дату начала выполнения соответствующей работы, срок, в течение которого будет осуществлять соответствующая деятельность, график работы (дни недели и время работы), для преподавательской деятельности указать объем учебных часов в год).</w:t>
      </w:r>
      <w:r>
        <w:rPr>
          <w:sz w:val="28"/>
          <w:szCs w:val="28"/>
        </w:rPr>
      </w:r>
      <w:r/>
    </w:p>
    <w:p>
      <w:pPr>
        <w:pStyle w:val="855"/>
        <w:ind w:firstLine="709"/>
        <w:jc w:val="both"/>
        <w:spacing w:line="283" w:lineRule="atLeast"/>
      </w:pPr>
      <w:r>
        <w:rPr>
          <w:sz w:val="28"/>
          <w:szCs w:val="28"/>
        </w:rPr>
        <w:t xml:space="preserve">Выполнение указанной работы не повлечет за собой конфликт интересов.</w:t>
      </w:r>
      <w:r>
        <w:rPr>
          <w:sz w:val="28"/>
          <w:szCs w:val="28"/>
        </w:rPr>
      </w:r>
      <w:r/>
    </w:p>
    <w:p>
      <w:pPr>
        <w:pStyle w:val="855"/>
        <w:ind w:firstLine="709"/>
        <w:jc w:val="both"/>
        <w:spacing w:line="283" w:lineRule="atLeast"/>
      </w:pPr>
      <w:r>
        <w:rPr>
          <w:sz w:val="28"/>
          <w:szCs w:val="28"/>
        </w:rPr>
        <w:t xml:space="preserve">При выполнении указанной работы обязуюсь соблюдать требования, предусмотренные  Федеральн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 25 декабря 2008 года № 273-ФЗ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 противодействии коррупции»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55"/>
        <w:ind w:firstLine="709"/>
        <w:jc w:val="both"/>
        <w:spacing w:line="360" w:lineRule="auto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5"/>
        <w:ind w:firstLine="708"/>
        <w:jc w:val="both"/>
      </w:pPr>
      <w:r/>
      <w:r/>
      <w:r/>
    </w:p>
    <w:p>
      <w:pPr>
        <w:pStyle w:val="855"/>
        <w:ind w:firstLine="708"/>
        <w:jc w:val="both"/>
      </w:pPr>
      <w:r/>
      <w:r/>
      <w:r/>
    </w:p>
    <w:p>
      <w:pPr>
        <w:pStyle w:val="855"/>
        <w:ind w:firstLine="0"/>
        <w:jc w:val="both"/>
      </w:pPr>
      <w:r>
        <w:t xml:space="preserve">_____________________</w:t>
        <w:tab/>
        <w:tab/>
        <w:tab/>
        <w:tab/>
        <w:t xml:space="preserve">     </w:t>
        <w:tab/>
        <w:tab/>
        <w:t xml:space="preserve">   ____________________</w:t>
      </w:r>
      <w:r/>
      <w:r/>
    </w:p>
    <w:p>
      <w:pPr>
        <w:pStyle w:val="855"/>
        <w:ind w:left="70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 xml:space="preserve">   (дата)</w:t>
        <w:tab/>
        <w:tab/>
        <w:tab/>
        <w:tab/>
        <w:tab/>
        <w:tab/>
        <w:tab/>
        <w:t xml:space="preserve">                                      (подпись)</w:t>
      </w:r>
      <w:r>
        <w:rPr>
          <w:sz w:val="20"/>
          <w:szCs w:val="20"/>
        </w:rPr>
      </w:r>
      <w:r/>
    </w:p>
    <w:p>
      <w:pPr>
        <w:ind w:left="0" w:right="-2" w:firstLine="0"/>
        <w:jc w:val="bot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270" w:right="680" w:bottom="828" w:left="1871" w:header="1245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Montserrat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  <w:jc w:val="center"/>
    </w:pPr>
    <w:r/>
    <w:r/>
  </w:p>
  <w:p>
    <w:pPr>
      <w:pStyle w:val="7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6"/>
      <w:isLgl w:val="false"/>
      <w:suff w:val="nothing"/>
      <w:lvlText w:val=""/>
      <w:lvlJc w:val="left"/>
      <w:pPr>
        <w:pStyle w:val="855"/>
        <w:ind w:left="0" w:firstLine="0"/>
        <w:tabs>
          <w:tab w:val="num" w:pos="0" w:leader="none"/>
        </w:tabs>
      </w:pPr>
    </w:lvl>
    <w:lvl w:ilvl="1">
      <w:start w:val="1"/>
      <w:numFmt w:val="decimal"/>
      <w:pStyle w:val="857"/>
      <w:isLgl w:val="false"/>
      <w:suff w:val="nothing"/>
      <w:lvlText w:val=""/>
      <w:lvlJc w:val="left"/>
      <w:pPr>
        <w:pStyle w:val="855"/>
        <w:ind w:left="0" w:firstLine="0"/>
        <w:tabs>
          <w:tab w:val="num" w:pos="0" w:leader="none"/>
        </w:tabs>
      </w:pPr>
    </w:lvl>
    <w:lvl w:ilvl="2">
      <w:start w:val="1"/>
      <w:numFmt w:val="decimal"/>
      <w:pStyle w:val="858"/>
      <w:isLgl w:val="false"/>
      <w:suff w:val="nothing"/>
      <w:lvlText w:val=""/>
      <w:lvlJc w:val="left"/>
      <w:pPr>
        <w:pStyle w:val="855"/>
        <w:ind w:left="0" w:firstLine="0"/>
        <w:tabs>
          <w:tab w:val="num" w:pos="0" w:leader="none"/>
        </w:tabs>
      </w:pPr>
    </w:lvl>
    <w:lvl w:ilvl="3">
      <w:start w:val="1"/>
      <w:numFmt w:val="decimal"/>
      <w:pStyle w:val="859"/>
      <w:isLgl w:val="false"/>
      <w:suff w:val="nothing"/>
      <w:lvlText w:val=""/>
      <w:lvlJc w:val="left"/>
      <w:pPr>
        <w:pStyle w:val="855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55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55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55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55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55"/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5"/>
    <w:next w:val="855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5"/>
    <w:next w:val="855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5"/>
    <w:next w:val="855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5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5"/>
    <w:next w:val="855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5"/>
    <w:next w:val="855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5"/>
    <w:next w:val="855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5"/>
    <w:next w:val="855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5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5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5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5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5"/>
    <w:next w:val="855"/>
    <w:uiPriority w:val="99"/>
    <w:unhideWhenUsed/>
    <w:pPr>
      <w:spacing w:after="0" w:afterAutospacing="0"/>
    </w:pPr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 w:default="1">
    <w:name w:val="Normal"/>
    <w:next w:val="855"/>
    <w:link w:val="855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6">
    <w:name w:val="Заголовок 1"/>
    <w:basedOn w:val="855"/>
    <w:next w:val="855"/>
    <w:link w:val="855"/>
    <w:pPr>
      <w:numPr>
        <w:ilvl w:val="0"/>
        <w:numId w:val="1"/>
      </w:numPr>
      <w:keepNext/>
      <w:outlineLvl w:val="0"/>
    </w:pPr>
    <w:rPr>
      <w:sz w:val="28"/>
    </w:rPr>
  </w:style>
  <w:style w:type="paragraph" w:styleId="857">
    <w:name w:val="Заголовок 2"/>
    <w:basedOn w:val="855"/>
    <w:next w:val="855"/>
    <w:link w:val="855"/>
    <w:pPr>
      <w:numPr>
        <w:ilvl w:val="1"/>
        <w:numId w:val="1"/>
      </w:numPr>
      <w:jc w:val="center"/>
      <w:keepNext/>
      <w:outlineLvl w:val="1"/>
    </w:pPr>
    <w:rPr>
      <w:b/>
      <w:sz w:val="32"/>
      <w:szCs w:val="20"/>
    </w:rPr>
  </w:style>
  <w:style w:type="paragraph" w:styleId="858">
    <w:name w:val="Заголовок 3"/>
    <w:basedOn w:val="855"/>
    <w:next w:val="855"/>
    <w:link w:val="855"/>
    <w:pPr>
      <w:numPr>
        <w:ilvl w:val="2"/>
        <w:numId w:val="1"/>
      </w:numPr>
      <w:jc w:val="center"/>
      <w:keepNext/>
      <w:outlineLvl w:val="2"/>
    </w:pPr>
    <w:rPr>
      <w:b/>
      <w:szCs w:val="20"/>
    </w:rPr>
  </w:style>
  <w:style w:type="paragraph" w:styleId="859">
    <w:name w:val="Заголовок 4"/>
    <w:basedOn w:val="855"/>
    <w:next w:val="855"/>
    <w:link w:val="855"/>
    <w:pPr>
      <w:numPr>
        <w:ilvl w:val="3"/>
        <w:numId w:val="1"/>
      </w:numPr>
      <w:jc w:val="center"/>
      <w:keepNext/>
      <w:outlineLvl w:val="3"/>
    </w:pPr>
    <w:rPr>
      <w:b/>
      <w:sz w:val="28"/>
      <w:szCs w:val="20"/>
      <w:u w:val="single"/>
    </w:rPr>
  </w:style>
  <w:style w:type="character" w:styleId="860">
    <w:name w:val="WW8Num1z0"/>
    <w:next w:val="860"/>
    <w:link w:val="855"/>
  </w:style>
  <w:style w:type="character" w:styleId="861">
    <w:name w:val="WW8Num1z1"/>
    <w:next w:val="861"/>
    <w:link w:val="855"/>
  </w:style>
  <w:style w:type="character" w:styleId="862">
    <w:name w:val="WW8Num1z2"/>
    <w:next w:val="862"/>
    <w:link w:val="855"/>
  </w:style>
  <w:style w:type="character" w:styleId="863">
    <w:name w:val="WW8Num1z3"/>
    <w:next w:val="863"/>
    <w:link w:val="855"/>
  </w:style>
  <w:style w:type="character" w:styleId="864">
    <w:name w:val="WW8Num1z4"/>
    <w:next w:val="864"/>
    <w:link w:val="855"/>
  </w:style>
  <w:style w:type="character" w:styleId="865">
    <w:name w:val="WW8Num1z5"/>
    <w:next w:val="865"/>
    <w:link w:val="855"/>
  </w:style>
  <w:style w:type="character" w:styleId="866">
    <w:name w:val="WW8Num1z6"/>
    <w:next w:val="866"/>
    <w:link w:val="855"/>
  </w:style>
  <w:style w:type="character" w:styleId="867">
    <w:name w:val="WW8Num1z7"/>
    <w:next w:val="867"/>
    <w:link w:val="855"/>
  </w:style>
  <w:style w:type="character" w:styleId="868">
    <w:name w:val="WW8Num1z8"/>
    <w:next w:val="868"/>
    <w:link w:val="855"/>
  </w:style>
  <w:style w:type="character" w:styleId="869">
    <w:name w:val="WW8Num2z0"/>
    <w:next w:val="869"/>
    <w:link w:val="855"/>
    <w:rPr>
      <w:rFonts w:ascii="Times New Roman" w:hAnsi="Times New Roman" w:eastAsia="Times New Roman" w:cs="Times New Roman"/>
    </w:rPr>
  </w:style>
  <w:style w:type="character" w:styleId="870">
    <w:name w:val="WW8Num2z1"/>
    <w:next w:val="870"/>
    <w:link w:val="855"/>
    <w:rPr>
      <w:rFonts w:ascii="Courier New" w:hAnsi="Courier New" w:cs="Courier New"/>
    </w:rPr>
  </w:style>
  <w:style w:type="character" w:styleId="871">
    <w:name w:val="WW8Num2z2"/>
    <w:next w:val="871"/>
    <w:link w:val="855"/>
    <w:rPr>
      <w:rFonts w:ascii="Wingdings" w:hAnsi="Wingdings" w:cs="Wingdings"/>
    </w:rPr>
  </w:style>
  <w:style w:type="character" w:styleId="872">
    <w:name w:val="WW8Num2z3"/>
    <w:next w:val="872"/>
    <w:link w:val="855"/>
    <w:rPr>
      <w:rFonts w:ascii="Symbol" w:hAnsi="Symbol" w:cs="Symbol"/>
    </w:rPr>
  </w:style>
  <w:style w:type="character" w:styleId="873">
    <w:name w:val="WW8Num4z0"/>
    <w:next w:val="873"/>
    <w:link w:val="855"/>
    <w:rPr>
      <w:rFonts w:ascii="Times New Roman" w:hAnsi="Times New Roman" w:eastAsia="Times New Roman" w:cs="Times New Roman"/>
    </w:rPr>
  </w:style>
  <w:style w:type="character" w:styleId="874">
    <w:name w:val="WW8Num4z1"/>
    <w:next w:val="874"/>
    <w:link w:val="855"/>
    <w:rPr>
      <w:rFonts w:ascii="Courier New" w:hAnsi="Courier New" w:cs="Courier New"/>
    </w:rPr>
  </w:style>
  <w:style w:type="character" w:styleId="875">
    <w:name w:val="WW8Num4z2"/>
    <w:next w:val="875"/>
    <w:rPr>
      <w:rFonts w:ascii="Wingdings" w:hAnsi="Wingdings" w:cs="Wingdings"/>
    </w:rPr>
  </w:style>
  <w:style w:type="character" w:styleId="876">
    <w:name w:val="WW8Num4z3"/>
    <w:next w:val="876"/>
    <w:rPr>
      <w:rFonts w:ascii="Symbol" w:hAnsi="Symbol" w:cs="Symbol"/>
    </w:rPr>
  </w:style>
  <w:style w:type="character" w:styleId="877">
    <w:name w:val="WW8Num5z0"/>
    <w:next w:val="877"/>
    <w:rPr>
      <w:rFonts w:ascii="Times New Roman" w:hAnsi="Times New Roman" w:eastAsia="Times New Roman" w:cs="Times New Roman"/>
    </w:rPr>
  </w:style>
  <w:style w:type="character" w:styleId="878">
    <w:name w:val="WW8Num5z1"/>
    <w:next w:val="878"/>
    <w:link w:val="855"/>
    <w:rPr>
      <w:rFonts w:ascii="Courier New" w:hAnsi="Courier New" w:cs="Courier New"/>
    </w:rPr>
  </w:style>
  <w:style w:type="character" w:styleId="879">
    <w:name w:val="WW8Num5z2"/>
    <w:next w:val="879"/>
    <w:rPr>
      <w:rFonts w:ascii="Wingdings" w:hAnsi="Wingdings" w:cs="Wingdings"/>
    </w:rPr>
  </w:style>
  <w:style w:type="character" w:styleId="880">
    <w:name w:val="WW8Num5z3"/>
    <w:next w:val="880"/>
    <w:link w:val="855"/>
    <w:rPr>
      <w:rFonts w:ascii="Symbol" w:hAnsi="Symbol" w:cs="Symbol"/>
    </w:rPr>
  </w:style>
  <w:style w:type="character" w:styleId="881">
    <w:name w:val="WW8Num6z0"/>
    <w:next w:val="881"/>
    <w:link w:val="855"/>
  </w:style>
  <w:style w:type="character" w:styleId="882">
    <w:name w:val="WW8Num7z0"/>
    <w:next w:val="882"/>
    <w:rPr>
      <w:rFonts w:ascii="Symbol" w:hAnsi="Symbol" w:cs="Symbol"/>
    </w:rPr>
  </w:style>
  <w:style w:type="character" w:styleId="883">
    <w:name w:val="WW8Num7z1"/>
    <w:next w:val="883"/>
    <w:link w:val="855"/>
    <w:rPr>
      <w:rFonts w:ascii="Courier New" w:hAnsi="Courier New" w:cs="Courier New"/>
    </w:rPr>
  </w:style>
  <w:style w:type="character" w:styleId="884">
    <w:name w:val="WW8Num7z2"/>
    <w:next w:val="884"/>
    <w:link w:val="855"/>
    <w:rPr>
      <w:rFonts w:ascii="Wingdings" w:hAnsi="Wingdings" w:cs="Wingdings"/>
    </w:rPr>
  </w:style>
  <w:style w:type="character" w:styleId="885">
    <w:name w:val="WW8Num8z0"/>
    <w:next w:val="885"/>
    <w:link w:val="855"/>
    <w:rPr>
      <w:rFonts w:ascii="Times New Roman" w:hAnsi="Times New Roman" w:eastAsia="Times New Roman" w:cs="Times New Roman"/>
    </w:rPr>
  </w:style>
  <w:style w:type="character" w:styleId="886">
    <w:name w:val="WW8Num8z1"/>
    <w:next w:val="886"/>
    <w:link w:val="855"/>
    <w:rPr>
      <w:rFonts w:ascii="Courier New" w:hAnsi="Courier New" w:cs="Courier New"/>
    </w:rPr>
  </w:style>
  <w:style w:type="character" w:styleId="887">
    <w:name w:val="WW8Num8z2"/>
    <w:next w:val="887"/>
    <w:link w:val="855"/>
    <w:rPr>
      <w:rFonts w:ascii="Wingdings" w:hAnsi="Wingdings" w:cs="Wingdings"/>
    </w:rPr>
  </w:style>
  <w:style w:type="character" w:styleId="888">
    <w:name w:val="WW8Num8z3"/>
    <w:next w:val="888"/>
    <w:link w:val="855"/>
    <w:rPr>
      <w:rFonts w:ascii="Symbol" w:hAnsi="Symbol" w:cs="Symbol"/>
    </w:rPr>
  </w:style>
  <w:style w:type="character" w:styleId="889">
    <w:name w:val="WW8Num9z0"/>
    <w:next w:val="889"/>
    <w:rPr>
      <w:rFonts w:ascii="Times New Roman" w:hAnsi="Times New Roman" w:eastAsia="Times New Roman" w:cs="Times New Roman"/>
    </w:rPr>
  </w:style>
  <w:style w:type="character" w:styleId="890">
    <w:name w:val="WW8Num9z1"/>
    <w:next w:val="890"/>
    <w:link w:val="855"/>
    <w:rPr>
      <w:rFonts w:ascii="Courier New" w:hAnsi="Courier New" w:cs="Courier New"/>
    </w:rPr>
  </w:style>
  <w:style w:type="character" w:styleId="891">
    <w:name w:val="WW8Num9z2"/>
    <w:next w:val="891"/>
    <w:link w:val="855"/>
    <w:rPr>
      <w:rFonts w:ascii="Wingdings" w:hAnsi="Wingdings" w:cs="Wingdings"/>
    </w:rPr>
  </w:style>
  <w:style w:type="character" w:styleId="892">
    <w:name w:val="WW8Num9z3"/>
    <w:next w:val="892"/>
    <w:link w:val="855"/>
    <w:rPr>
      <w:rFonts w:ascii="Symbol" w:hAnsi="Symbol" w:cs="Symbol"/>
    </w:rPr>
  </w:style>
  <w:style w:type="character" w:styleId="893">
    <w:name w:val="Основной шрифт абзаца"/>
    <w:next w:val="893"/>
    <w:link w:val="855"/>
  </w:style>
  <w:style w:type="character" w:styleId="894">
    <w:name w:val="Номер страницы"/>
    <w:basedOn w:val="893"/>
    <w:next w:val="894"/>
    <w:link w:val="855"/>
  </w:style>
  <w:style w:type="character" w:styleId="895">
    <w:name w:val="Интернет-ссылка"/>
    <w:next w:val="895"/>
    <w:link w:val="855"/>
    <w:rPr>
      <w:color w:val="000080"/>
      <w:u w:val="single"/>
      <w:lang w:val="en-US" w:eastAsia="en-US" w:bidi="en-US"/>
    </w:rPr>
  </w:style>
  <w:style w:type="paragraph" w:styleId="896">
    <w:name w:val="Заголовок"/>
    <w:basedOn w:val="855"/>
    <w:next w:val="897"/>
    <w:link w:val="85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7">
    <w:name w:val="Основной текст"/>
    <w:basedOn w:val="855"/>
    <w:next w:val="897"/>
    <w:link w:val="855"/>
    <w:pPr>
      <w:jc w:val="both"/>
    </w:pPr>
  </w:style>
  <w:style w:type="paragraph" w:styleId="898">
    <w:name w:val="Список"/>
    <w:basedOn w:val="897"/>
    <w:next w:val="898"/>
    <w:link w:val="855"/>
    <w:rPr>
      <w:rFonts w:cs="Mangal"/>
    </w:rPr>
  </w:style>
  <w:style w:type="paragraph" w:styleId="899">
    <w:name w:val="Название"/>
    <w:basedOn w:val="855"/>
    <w:next w:val="899"/>
    <w:link w:val="85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0">
    <w:name w:val="Указатель"/>
    <w:basedOn w:val="855"/>
    <w:next w:val="900"/>
    <w:link w:val="855"/>
    <w:pPr>
      <w:suppressLineNumbers/>
    </w:pPr>
    <w:rPr>
      <w:rFonts w:cs="Mangal"/>
      <w:lang w:val="en-US" w:eastAsia="en-US" w:bidi="en-US"/>
    </w:rPr>
  </w:style>
  <w:style w:type="paragraph" w:styleId="901">
    <w:name w:val="Схема документа"/>
    <w:basedOn w:val="855"/>
    <w:next w:val="901"/>
    <w:link w:val="855"/>
    <w:pPr>
      <w:shd w:val="clear" w:color="auto" w:fill="000080"/>
    </w:pPr>
    <w:rPr>
      <w:rFonts w:ascii="Tahoma" w:hAnsi="Tahoma" w:cs="Tahoma"/>
    </w:rPr>
  </w:style>
  <w:style w:type="paragraph" w:styleId="902">
    <w:name w:val="Основной текст с отступом"/>
    <w:basedOn w:val="855"/>
    <w:next w:val="902"/>
    <w:link w:val="855"/>
    <w:pPr>
      <w:ind w:left="0" w:right="0" w:firstLine="540"/>
      <w:jc w:val="both"/>
    </w:pPr>
  </w:style>
  <w:style w:type="paragraph" w:styleId="903">
    <w:name w:val="Текст выноски"/>
    <w:basedOn w:val="855"/>
    <w:next w:val="903"/>
    <w:link w:val="855"/>
    <w:rPr>
      <w:rFonts w:ascii="Tahoma" w:hAnsi="Tahoma" w:cs="Tahoma"/>
      <w:sz w:val="16"/>
      <w:szCs w:val="16"/>
    </w:rPr>
  </w:style>
  <w:style w:type="paragraph" w:styleId="904">
    <w:name w:val="Колонтитул"/>
    <w:basedOn w:val="855"/>
    <w:next w:val="904"/>
    <w:link w:val="855"/>
    <w:pPr>
      <w:tabs>
        <w:tab w:val="center" w:pos="4819" w:leader="none"/>
        <w:tab w:val="right" w:pos="9638" w:leader="none"/>
      </w:tabs>
      <w:suppressLineNumbers/>
    </w:pPr>
  </w:style>
  <w:style w:type="paragraph" w:styleId="905">
    <w:name w:val="Верхний колонтитул"/>
    <w:basedOn w:val="855"/>
    <w:next w:val="905"/>
    <w:link w:val="855"/>
    <w:pPr>
      <w:tabs>
        <w:tab w:val="center" w:pos="4677" w:leader="none"/>
        <w:tab w:val="right" w:pos="9355" w:leader="none"/>
      </w:tabs>
    </w:pPr>
  </w:style>
  <w:style w:type="paragraph" w:styleId="906">
    <w:name w:val="Нижний колонтитул"/>
    <w:basedOn w:val="855"/>
    <w:next w:val="906"/>
    <w:link w:val="855"/>
    <w:pPr>
      <w:tabs>
        <w:tab w:val="center" w:pos="4677" w:leader="none"/>
        <w:tab w:val="right" w:pos="9355" w:leader="none"/>
      </w:tabs>
    </w:pPr>
  </w:style>
  <w:style w:type="paragraph" w:styleId="907">
    <w:name w:val="ConsPlusNormal"/>
    <w:next w:val="907"/>
    <w:link w:val="855"/>
    <w:pPr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8">
    <w:name w:val="Содержимое врезки"/>
    <w:basedOn w:val="855"/>
    <w:next w:val="908"/>
    <w:link w:val="855"/>
  </w:style>
  <w:style w:type="character" w:styleId="909" w:default="1">
    <w:name w:val="Default Paragraph Font"/>
    <w:uiPriority w:val="1"/>
    <w:semiHidden/>
    <w:unhideWhenUsed/>
  </w:style>
  <w:style w:type="numbering" w:styleId="910" w:default="1">
    <w:name w:val="No List"/>
    <w:uiPriority w:val="99"/>
    <w:semiHidden/>
    <w:unhideWhenUsed/>
  </w:style>
  <w:style w:type="paragraph" w:styleId="911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12" w:customStyle="1">
    <w:name w:val="Сетка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13" w:customStyle="1">
    <w:name w:val="pboth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38</cp:revision>
  <dcterms:created xsi:type="dcterms:W3CDTF">2022-09-14T11:56:00Z</dcterms:created>
  <dcterms:modified xsi:type="dcterms:W3CDTF">2025-01-15T13:33:00Z</dcterms:modified>
</cp:coreProperties>
</file>