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tLeas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33375" distB="333375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line">
                  <wp:posOffset>108585</wp:posOffset>
                </wp:positionV>
                <wp:extent cx="1397635" cy="1103630"/>
                <wp:effectExtent l="19050" t="0" r="0" b="0"/>
                <wp:wrapSquare wrapText="bothSides"/>
                <wp:docPr id="1" name="bxid_784831" descr="http://mgu.novreg.ru/images/SIymFGZEMf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xid_784831" descr="http://mgu.novreg.ru/images/SIymFGZEMfU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97635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5.8pt;mso-position-horizontal:absolute;mso-position-vertical-relative:line;margin-top:8.5pt;mso-position-vertical:absolute;width:110.0pt;height:86.9pt;mso-wrap-distance-left:9.0pt;mso-wrap-distance-top:26.2pt;mso-wrap-distance-right:9.0pt;mso-wrap-distance-bottom:26.2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Противодействие коррупции</w:t>
      </w:r>
      <w:r/>
    </w:p>
    <w:p>
      <w:pPr>
        <w:jc w:val="center"/>
        <w:spacing w:after="0" w:line="240" w:lineRule="atLeast"/>
        <w:rPr>
          <w:rFonts w:ascii="Times New Roman" w:hAnsi="Times New Roman" w:eastAsia="Times New Roman" w:cs="Times New Roman"/>
          <w:b/>
          <w:bCs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tLeast"/>
        <w:rPr>
          <w:rFonts w:ascii="Times New Roman" w:hAnsi="Times New Roman" w:eastAsia="Times New Roman" w:cs="Times New Roman"/>
          <w:b/>
          <w:bCs/>
          <w:color w:val="003370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реализации антикоррупционных мероприятий, проводимых ГОКУ «Государственное юридическое бюро Новгородской области»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повышения эффективности обеспечения соблюдения работниками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руководителями учреждения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запретов, ограничений, обязательств и правил служебного поведения, формирования в обществ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 нетерпимости к коррупционному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поведению в учреждении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функционирует «Горячая линия» по вопросам противодействия коррупции.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3370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tLeas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3370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3370"/>
          <w:highlight w:val="none"/>
          <w:lang w:eastAsia="ru-RU"/>
        </w:rPr>
      </w:r>
    </w:p>
    <w:p>
      <w:pPr>
        <w:jc w:val="both"/>
        <w:spacing w:after="0" w:line="240" w:lineRule="atLeast"/>
        <w:rPr>
          <w:rFonts w:ascii="Times New Roman" w:hAnsi="Times New Roman" w:eastAsia="Times New Roman" w:cs="Times New Roman"/>
          <w:b/>
          <w:bCs/>
          <w:color w:val="00337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3370"/>
          <w:sz w:val="24"/>
          <w:szCs w:val="24"/>
          <w:lang w:eastAsia="ru-RU"/>
        </w:rPr>
        <w:t xml:space="preserve">Контакты: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0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39"/>
      </w:tblGrid>
      <w:tr>
        <w:trPr/>
        <w:tc>
          <w:tcPr>
            <w:tcW w:w="10705" w:type="dxa"/>
            <w:textDirection w:val="lrTb"/>
            <w:noWrap w:val="false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2636"/>
            </w:tblGrid>
            <w:tr>
              <w:trPr>
                <w:jc w:val="center"/>
                <w:trHeight w:val="1261"/>
              </w:trPr>
              <w:tc>
                <w:tcPr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70" w:type="dxa"/>
                  <w:textDirection w:val="lrTb"/>
                  <w:noWrap w:val="false"/>
                </w:tcPr>
                <w:p>
                  <w:pPr>
                    <w:contextualSpacing/>
                    <w:spacing w:after="0" w:line="240" w:lineRule="atLeast"/>
                    <w:shd w:val="clear" w:color="auto" w:fill="ffffff"/>
                    <w:rPr>
                      <w:rFonts w:ascii="Times New Roman" w:hAnsi="Times New Roman" w:cs="Times New Roman"/>
                      <w:bCs/>
                      <w:color w:val="17365d" w:themeColor="text2" w:themeShade="BF"/>
                      <w:sz w:val="24"/>
                      <w:szCs w:val="24"/>
                    </w:rPr>
                    <w:outlineLvl w:val="3"/>
                  </w:pPr>
                  <w:r>
                    <w:rPr>
                      <w:rFonts w:ascii="Times New Roman" w:hAnsi="Times New Roman" w:cs="Times New Roman"/>
                      <w:bCs/>
                      <w:color w:val="17365d" w:themeColor="text2" w:themeShade="BF"/>
                      <w:sz w:val="24"/>
                      <w:szCs w:val="24"/>
                    </w:rPr>
                    <w:t xml:space="preserve">Панов Никита Александрович</w:t>
                  </w:r>
                  <w:r>
                    <w:rPr>
                      <w:rFonts w:ascii="Times New Roman" w:hAnsi="Times New Roman" w:cs="Times New Roman"/>
                      <w:bCs/>
                      <w:color w:val="17365d" w:themeColor="text2" w:themeShade="BF"/>
                      <w:sz w:val="24"/>
                      <w:szCs w:val="24"/>
                    </w:rPr>
                    <w:t xml:space="preserve">,</w:t>
                  </w: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contextualSpacing/>
                    <w:spacing w:after="0" w:line="240" w:lineRule="atLeast"/>
                    <w:shd w:val="clear" w:color="auto" w:fill="ffffff"/>
                    <w:rPr>
                      <w:rFonts w:ascii="Times New Roman" w:hAnsi="Times New Roman" w:cs="Times New Roman"/>
                      <w:bCs/>
                      <w:color w:val="17365d" w:themeColor="text2" w:themeShade="BF"/>
                      <w:sz w:val="24"/>
                      <w:szCs w:val="24"/>
                    </w:rPr>
                    <w:outlineLvl w:val="3"/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Директор ГОКУ «Государственное юридическое бюро Новгородской области»</w:t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36" w:type="dxa"/>
                  <w:textDirection w:val="lrTb"/>
                  <w:noWrap w:val="false"/>
                </w:tcPr>
                <w:p>
                  <w:pPr>
                    <w:contextualSpacing/>
                    <w:spacing w:after="0" w:line="240" w:lineRule="atLeast"/>
                    <w:shd w:val="clear" w:color="auto" w:fill="ffffff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outlineLvl w:val="3"/>
                  </w:pPr>
                  <w:r>
                    <w:rPr>
                      <w:rFonts w:ascii="Times New Roman" w:hAnsi="Times New Roman"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8 (8162) 63-72-27</w:t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 w:line="240" w:lineRule="atLeast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 w:line="240" w:lineRule="atLeast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89360" cy="889686"/>
                <wp:effectExtent l="19050" t="0" r="0" b="0"/>
                <wp:docPr id="2" name="Рисунок 2" descr="http://mgu.novreg.ru/protivodeystvie-korruptsii/gor_liniy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mgu.novreg.ru/protivodeystvie-korruptsii/gor_liniya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889360" cy="889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3.7pt;height:70.1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Правила приема сообщений по «Горячей линии»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«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  <w:t xml:space="preserve">Горячей линии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принимается и рассматривается информация о фактах: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Коррупционных проявлений в действиях работников учреждения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Конфликта интересов в действиях работников учреждения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Несоблюдения работниками учреждения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ограничений и запретов, установленных законодательством Российской Федерации. 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  <w:t xml:space="preserve">Не рассматриваются:</w:t>
      </w:r>
      <w:r/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анонимные обращения (без указания фамилии гражданина, направившего обращение);</w:t>
      </w:r>
      <w:r/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обращения, не содержащие почтового адреса либо телефона, по которому должен быть направлен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ответ;</w:t>
      </w:r>
      <w:r/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обращения, не касающиеся коррупционных действий работниками учреждения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5812155</wp:posOffset>
                </wp:positionH>
                <wp:positionV relativeFrom="line">
                  <wp:posOffset>102944</wp:posOffset>
                </wp:positionV>
                <wp:extent cx="848360" cy="938530"/>
                <wp:effectExtent l="0" t="0" r="8890" b="0"/>
                <wp:wrapSquare wrapText="bothSides"/>
                <wp:docPr id="3" name="bxid_681163" descr="http://mgu.novreg.ru/images/znak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6708100" name="bxid_681163" descr="http://mgu.novreg.ru/images/znak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48359" cy="938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8;o:allowoverlap:true;o:allowincell:true;mso-position-horizontal-relative:text;margin-left:457.6pt;mso-position-horizontal:absolute;mso-position-vertical-relative:line;margin-top:8.1pt;mso-position-vertical:absolute;width:66.8pt;height:73.9pt;mso-wrap-distance-left:9.0pt;mso-wrap-distance-top:0.0pt;mso-wrap-distance-right:9.0pt;mso-wrap-distance-bottom:0.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Конфиденциальность обращения гарантируется.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  <w:t xml:space="preserve">Обращаем внимание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 </w:t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 xml:space="preserve">График проведения «горячих» линий» по вопросам профилактики коррупционных и иных правонарушений в 2025 году.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r>
      <w:r/>
    </w:p>
    <w:tbl>
      <w:tblPr>
        <w:tblStyle w:val="60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59"/>
        <w:gridCol w:w="3687"/>
        <w:gridCol w:w="2942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</w:t>
            </w:r>
            <w:bookmarkStart w:id="0" w:name="_GoBack"/>
            <w:r>
              <w:rPr>
                <w:b/>
                <w:bCs/>
              </w:rPr>
            </w:r>
            <w:bookmarkEnd w:id="0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</w:t>
            </w:r>
            <w:r>
              <w:rPr>
                <w:b/>
                <w:bCs/>
              </w:rPr>
            </w:r>
          </w:p>
        </w:tc>
        <w:tc>
          <w:tcPr>
            <w:tcW w:w="32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проведения</w:t>
            </w:r>
            <w:r>
              <w:rPr>
                <w:b/>
                <w:bCs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проведения</w:t>
            </w:r>
            <w:r>
              <w:rPr>
                <w:b/>
                <w:bCs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</w:t>
            </w:r>
            <w:r>
              <w:rPr>
                <w:b/>
                <w:bCs/>
              </w:rPr>
            </w:r>
          </w:p>
        </w:tc>
      </w:tr>
      <w:tr>
        <w:trPr>
          <w:trHeight w:val="185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center" w:pos="3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1</w:t>
            </w:r>
            <w:r>
              <w:tab/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09.00-12.00</w:t>
            </w:r>
            <w:r/>
          </w:p>
        </w:tc>
        <w:tc>
          <w:tcPr>
            <w:tcW w:w="29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8(8162)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63-72-27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8(8162)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63-72-27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8(8162)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63-72-27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8(8162)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63-72-27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27.05.2025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09.00-12.00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4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3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26.08.2025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09.00-12.00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4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4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25.11.2025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09.00-12.00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4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568" w:right="424" w:bottom="142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  <w:style w:type="character" w:styleId="604">
    <w:name w:val="Strong"/>
    <w:basedOn w:val="599"/>
    <w:uiPriority w:val="22"/>
    <w:qFormat/>
    <w:rPr>
      <w:b/>
      <w:bCs/>
    </w:rPr>
  </w:style>
  <w:style w:type="table" w:styleId="605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570A-5D40-4B2B-AD3E-C8A745F5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Лепичева Любовь Александровна</dc:creator>
  <cp:revision>3</cp:revision>
  <dcterms:created xsi:type="dcterms:W3CDTF">2023-07-07T07:08:00Z</dcterms:created>
  <dcterms:modified xsi:type="dcterms:W3CDTF">2025-01-28T06:08:51Z</dcterms:modified>
</cp:coreProperties>
</file>