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8"/>
        <w:ind w:left="4248" w:firstLine="708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              УТВЕРЖДЕНЫ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 </w:t>
      </w:r>
      <w:r/>
    </w:p>
    <w:p>
      <w:pPr>
        <w:pStyle w:val="668"/>
        <w:ind w:left="5103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приказом ГОКУ «Государственное юридическое бюро Новгородской области»  </w:t>
      </w:r>
      <w:r/>
    </w:p>
    <w:p>
      <w:pPr>
        <w:pStyle w:val="668"/>
        <w:ind w:left="5103"/>
        <w:rPr>
          <w:rFonts w:ascii="Times New Roman" w:hAnsi="Times New Roman" w:eastAsia="Times New Roman" w:cs="Times New Roman"/>
          <w:sz w:val="28"/>
          <w:szCs w:val="28"/>
          <w:highlight w:val="none"/>
          <w:lang w:eastAsia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6-ОД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от «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19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сентября 2022 года</w:t>
      </w:r>
      <w:r/>
    </w:p>
    <w:p>
      <w:pPr>
        <w:pStyle w:val="668"/>
        <w:ind w:left="5103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ar-SA"/>
        </w:rPr>
        <w:t xml:space="preserve">(в редакции приказа учреждения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ar-SA"/>
        </w:rPr>
      </w:r>
    </w:p>
    <w:p>
      <w:pPr>
        <w:pStyle w:val="668"/>
        <w:ind w:left="5103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ar-SA"/>
        </w:rPr>
        <w:t xml:space="preserve">от 05.11.2024 № 34-ОД)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ar-SA"/>
        </w:rPr>
      </w:r>
    </w:p>
    <w:p>
      <w:pPr>
        <w:pStyle w:val="668"/>
        <w:ind w:right="140" w:firstLine="709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обмена деловыми подарками и знаками делового гостеприимства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государственном областном казенном </w:t>
      </w:r>
      <w:r>
        <w:rPr>
          <w:rFonts w:ascii="Times New Roman" w:hAnsi="Times New Roman" w:cs="Times New Roman"/>
          <w:b/>
          <w:sz w:val="28"/>
          <w:szCs w:val="28"/>
        </w:rPr>
        <w:t xml:space="preserve">учреждении «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/>
    </w:p>
    <w:p>
      <w:pPr>
        <w:pStyle w:val="668"/>
        <w:ind w:right="14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numPr>
          <w:ilvl w:val="0"/>
          <w:numId w:val="1"/>
        </w:num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ОБЩИЕ ПОЛОЖЕНИЯ</w:t>
      </w:r>
      <w:r/>
    </w:p>
    <w:p>
      <w:pPr>
        <w:pStyle w:val="668"/>
        <w:ind w:left="1069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Настоящие Правила обмена деловыми подарками и знаками делового гостеприимства (далее - Правила) разработаны в соответствии с Федеральным законом от 25.12.2008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определяют общие требования к дарению и принятию деловых подарков, а также к обмену знаками делового гостеприимства для лиц, замещающих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Действие настоящих Правил распрос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траняется на работников вне зависимости от уровня занимаемой должности.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терминами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деловой подарок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знак делового гостеприимства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понимаются подарки, полученные в связи: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должностным положением или в связи с исполнением служебных (должностных) обязанностей;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протокольными мероприятиями, служебными командировками и другими официальными мероприятиями.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Исключение составляют канцелярские принадлежности, которые в рамках протокольных меро</w:t>
      </w:r>
      <w:r>
        <w:rPr>
          <w:rFonts w:ascii="Times New Roman" w:hAnsi="Times New Roman" w:cs="Times New Roman"/>
          <w:sz w:val="28"/>
          <w:szCs w:val="28"/>
        </w:rPr>
        <w:t xml:space="preserve">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Целями настоящих Правил являются: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единообразного понимания роли и места деловых подарков, делового гостеприимства, представительских мероприятий;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определение единых для работников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минимизирование рисков, связанных с возможным злоупотреблением в области дарения подарков и оказания знаков делового гостеприимства, представительских мероприятий;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и поддержания деловых отношений и как проявление общепринятой вежливости в ходе ведения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ДЕЛОВЫМ ПОДАРКАМ 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ЗНАКАМ ДЕЛОВОГО ГОСТЕПРИИМСТВА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Деловые подарки и знаки делового гостеприимства являются общепринятым проявлением вежливости при осуществлении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Деловые подарки, подлежащие дарению, и знаки делового гостеприимства должны быть вручены и оказаны только от имени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Деловые подарки, подлежащие дарению, и знаки делового гостеприимства не должны: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создавать для получателя подарка обязательства, связанные с его должностным положением или исполнением им должностных обязанностей;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</w:t>
      </w:r>
      <w:r>
        <w:rPr>
          <w:rFonts w:ascii="Times New Roman" w:hAnsi="Times New Roman" w:cs="Times New Roman"/>
          <w:sz w:val="28"/>
          <w:szCs w:val="28"/>
        </w:rPr>
        <w:t xml:space="preserve">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создавать </w:t>
      </w:r>
      <w:r>
        <w:rPr>
          <w:rFonts w:ascii="Times New Roman" w:hAnsi="Times New Roman" w:cs="Times New Roman"/>
          <w:sz w:val="28"/>
          <w:szCs w:val="28"/>
        </w:rPr>
        <w:t xml:space="preserve">репутационный</w:t>
      </w:r>
      <w:r>
        <w:rPr>
          <w:rFonts w:ascii="Times New Roman" w:hAnsi="Times New Roman" w:cs="Times New Roman"/>
          <w:sz w:val="28"/>
          <w:szCs w:val="28"/>
        </w:rPr>
        <w:t xml:space="preserve"> риск для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 форме наличных, безналичных денежных средств, ценных бумаг, драгоценных металлов.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Деловые подарки, подлежащие дарению, и знаки делового гостеприимства могут быть прямо связаны с установленными целями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памятными датами, юбилеями, общенациональными, профессиональными праздниками.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numPr>
          <w:ilvl w:val="0"/>
          <w:numId w:val="2"/>
        </w:num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РАБОТНИКОВ</w:t>
      </w:r>
      <w:r/>
    </w:p>
    <w:p>
      <w:pPr>
        <w:pStyle w:val="668"/>
        <w:ind w:left="709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Работники обязаны: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делового подарка или знаков делового гостеприимства принять меры по недопущению возможности возникновения конфликта интересов;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в установленном порядке уведомить об этом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учреждения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сообщить о получении делового подарка,</w:t>
      </w:r>
      <w:r>
        <w:rPr>
          <w:rFonts w:ascii="Times New Roman" w:hAnsi="Times New Roman" w:cs="Times New Roman"/>
          <w:sz w:val="28"/>
          <w:szCs w:val="28"/>
        </w:rPr>
        <w:t xml:space="preserve"> сдать его в установленном порядке (за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</w:t>
      </w:r>
      <w:r>
        <w:rPr>
          <w:rFonts w:ascii="Times New Roman" w:hAnsi="Times New Roman" w:cs="Times New Roman"/>
          <w:sz w:val="28"/>
          <w:szCs w:val="28"/>
        </w:rPr>
        <w:t xml:space="preserve">своих служебных (должностных) обязанностей, цветов и ценных подарков, которые вручены в качестве поощрения (награды).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Работникам запрещается: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деловых переговоров, при заключении догово</w:t>
      </w:r>
      <w:r>
        <w:rPr>
          <w:rFonts w:ascii="Times New Roman" w:hAnsi="Times New Roman" w:cs="Times New Roman"/>
          <w:sz w:val="28"/>
          <w:szCs w:val="28"/>
        </w:rPr>
        <w:t xml:space="preserve">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подарки в форме наличных, безналичных денежных средств, ценных бумаг, драгоценных металлов.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ПОРЯДОК УВЕДОМЛЕНИЯ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ДИРЕКТОРА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ПОЛУЧЕНИИ ДЕЛОВОГО ПОДАРКА, 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ЗНАКА ДЕЛОВОГО ГОСТЕПРИИМСТВА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Прием и регистрацию письменных</w:t>
      </w:r>
      <w:r>
        <w:rPr>
          <w:rFonts w:ascii="Times New Roman" w:hAnsi="Times New Roman" w:cs="Times New Roman"/>
          <w:sz w:val="28"/>
          <w:szCs w:val="28"/>
        </w:rPr>
        <w:t xml:space="preserve"> уведомлений о получении деловых подарков и знаков делового гостеприимства (далее - уведомление) в связи с протокольными мероприятиями, служебными командировками и другими официальными мероприятиями обеспечивает председатель комиссии для принятия на учет в</w:t>
      </w:r>
      <w:r>
        <w:rPr>
          <w:rFonts w:ascii="Times New Roman" w:hAnsi="Times New Roman" w:cs="Times New Roman"/>
          <w:sz w:val="28"/>
          <w:szCs w:val="28"/>
        </w:rPr>
        <w:t xml:space="preserve">новь поступивших объектов основных средств, нематериальных активов, товарно-материальных ценностей, присвоения основным средствам уникального инвентарного номера, определения срока полезного использования основных средств и нематериальных активов (далее -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омиссия), действующей 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Уведомление о получении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подарка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форме согласно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к настоящим Правилам)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знака делового гостеприимства </w:t>
      </w:r>
      <w:r>
        <w:rPr>
          <w:rFonts w:ascii="Times New Roman" w:hAnsi="Times New Roman" w:cs="Times New Roman"/>
          <w:sz w:val="28"/>
          <w:szCs w:val="28"/>
        </w:rPr>
        <w:t xml:space="preserve">подается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получения подарка.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уведомлению прилагаются документы (при их наличии), подтверждающие стоимость подарка, знака делового гостеприимства (кассовый чек, товарный чек, иной документ об оплате или приобретении).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подарок, знак делового гостеприимства получен работником во время служебной командировки, уведомление представляется не позднее трех рабочих дней со дня возвращения работника из служебной командировки.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указанные сроки по причине, не зависящей от работника, получившего подарок, знак делового гостеприимства, уведомление представляется не позднее следующего дня после ее устранения.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Уведомление составляется в двух экземплярах, один из которых возвращается работнику, представившему уведомление, с отметкой о регистрации, другой экземпляр остается 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подлежат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день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должностным лицом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принятие уведомления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в течение 1 рабочего дня, следующего за днем регистрации в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журнале учета уведомлений, передается для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директору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который в течение 3 рабочих дней со дня поступления к нему уведомления принимает решение о проведении проверки сведений, содержащихся в уведомлении (далее - проверка), и образовании комиссии. Принятое решение 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должна быть завершена не позднее чем через 30 рабочих дней со дня принятия решения о ее проведении.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проверки должны быть заслушаны пояснения работника, подавшего уведомление, 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</w:t>
      </w:r>
      <w:r>
        <w:rPr>
          <w:rFonts w:ascii="Times New Roman" w:hAnsi="Times New Roman" w:cs="Times New Roman"/>
          <w:sz w:val="28"/>
          <w:szCs w:val="28"/>
        </w:rPr>
        <w:t xml:space="preserve">я проверки помимо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требуют</w:t>
      </w:r>
      <w:r>
        <w:rPr>
          <w:rFonts w:ascii="Times New Roman" w:hAnsi="Times New Roman" w:cs="Times New Roman"/>
          <w:sz w:val="28"/>
          <w:szCs w:val="28"/>
        </w:rPr>
        <w:t xml:space="preserve">ся и рассматриваются следующие материалы: должностная инструкция и служебная характеристика на работника, подавшего уведомление, при необходимости – должностные инструкции и характеристики работников, имеющих отношение к фактам, содержащимся в уведомлении.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проведения более полной и объективной проверки сведений, указанных в уведомлении, комиссия имеет право направлять соответствующие запросы в иные органы, учреждения и организации.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не вправе разглашать сведения, ставшие им известными в ходе проверочных мероприятий. Разглашение сведений, полученных в результате проведения проверки, влечет за собой ответственность, предусмотренную законодательством Российской Федерации.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 в течение 30 рабочих дней со дня принятия решения о ее проведении оформляется письменное заключение о подтверждении факта обращения либо о его опровержении (далее - заключение), которое подписывается членами комиссии.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указываются: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сроки проведения проверки;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sz w:val="28"/>
          <w:szCs w:val="28"/>
        </w:rPr>
        <w:t xml:space="preserve">работника, подавшего уведомление, и обстоятельства, послужившие основанием для проведения проверки;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подтверждение достоверности либо опровержение факта обращения, послужившего основанием для направления уведомления;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и обстоятельства, способствовавшие обращению в целях склонения работника к совершению коррупционных правонарушений;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меры, рекомендуемые для разрешения сложившейся ситуации.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комиссии в течение 3 рабочих дней со дня его подписания направляется </w:t>
      </w:r>
      <w:r>
        <w:rPr>
          <w:rFonts w:ascii="Times New Roman" w:hAnsi="Times New Roman" w:cs="Times New Roman"/>
          <w:sz w:val="28"/>
          <w:szCs w:val="28"/>
        </w:rPr>
        <w:t xml:space="preserve">директору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а его копия - работнику, подавшему уведомление.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подтверждения факта обращения </w:t>
      </w:r>
      <w:r>
        <w:rPr>
          <w:rFonts w:ascii="Times New Roman" w:hAnsi="Times New Roman" w:cs="Times New Roman"/>
          <w:sz w:val="28"/>
          <w:szCs w:val="28"/>
        </w:rPr>
        <w:t xml:space="preserve">директор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заключения комиссии по результатам проверки в течение 2 рабочих дней со дня поступления к нему заключения путем издания приказа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принимает одно из следующих решений: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исключении возможности принятия работником, подавшим уведомление, единоличных решений по вопросам, с которыми связана вероятность совершения коррупционного правонарушения;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незамедлительной передаче материалов проверки в правоохранительные органы.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 xml:space="preserve">Подарок, знак делового гостеприимства, стоимость которого подтверждается документами и превышает 3 тысячи рублей либо стоимость которого получившему его работнику неизвестна, сдается по согласованию с председателем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соответствующему материально ответственному лицу, который принимает его на хранение по акту приема-передачи не позднее пяти рабочих дней со дня регистрации уведомления в соответствующем журнале регистрации.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До передачи подарка, знака делового гостеприимства по акту приема-передачи ответственность в соответствии с законодательством Российской Федерации за утрату или повреждение подарка несет работник, получивший подарок.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В целях принятия к бухгалтерс</w:t>
      </w:r>
      <w:r>
        <w:rPr>
          <w:rFonts w:ascii="Times New Roman" w:hAnsi="Times New Roman" w:cs="Times New Roman"/>
          <w:sz w:val="28"/>
          <w:szCs w:val="28"/>
        </w:rPr>
        <w:t xml:space="preserve">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</w:t>
      </w:r>
      <w:r>
        <w:rPr>
          <w:rFonts w:ascii="Times New Roman" w:hAnsi="Times New Roman" w:cs="Times New Roman"/>
          <w:sz w:val="28"/>
          <w:szCs w:val="28"/>
        </w:rPr>
        <w:t xml:space="preserve">овиях. Сведения о рыночной цене подтверждаются документально, а при невозможности документарного подтверждения - экспертным путем. Подарок возвращается сдавшему его работнику по акту приема-передачи в случае, если его стоимость не превышает 3 тысяч рублей.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Соответствующее материально ответственное лицо обеспечивает бухгалтерский учет подарка, принятого в установленном порядке, стоимость которого превышает 3 тысячи рублей.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Работник, сдавший подарок, может его выкупить, направив </w:t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двух месяцев со дня сдачи подарка.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4.9.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Соответствующее материально ответственное лицо в течение трех месяцев со дня поступления заявления, указанного в пункте 4.8 настоящих Правил, организует оценку с</w:t>
      </w:r>
      <w:r>
        <w:rPr>
          <w:rFonts w:ascii="Times New Roman" w:hAnsi="Times New Roman" w:cs="Times New Roman"/>
          <w:sz w:val="28"/>
          <w:szCs w:val="28"/>
        </w:rPr>
        <w:t xml:space="preserve">тоимости подарка для реализации (выкупа) и уведомляет в письменной форме работника, подавшего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В случае если в отношении подарка, знака делового гостеприимства не поступило заявление, указанное в пункте 4.8 настоящих Правил, </w:t>
      </w:r>
      <w:r>
        <w:rPr>
          <w:rFonts w:ascii="Times New Roman" w:hAnsi="Times New Roman" w:cs="Times New Roman"/>
          <w:sz w:val="28"/>
          <w:szCs w:val="28"/>
        </w:rPr>
        <w:t xml:space="preserve">директор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 учетом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принимает решение о проведении оценки его стоимости для реализации (выкупа) и реализации подарка, осуществляемой в порядке, предусмотренном законодательством Российской Федерации.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В случае если подарок не выкуплен или не реализован, </w:t>
      </w:r>
      <w:r>
        <w:rPr>
          <w:rFonts w:ascii="Times New Roman" w:hAnsi="Times New Roman" w:cs="Times New Roman"/>
          <w:sz w:val="28"/>
          <w:szCs w:val="28"/>
        </w:rPr>
        <w:t xml:space="preserve">директор учреждения</w:t>
      </w:r>
      <w:r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Комиссии, принимает решение о повторной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подарка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/>
    </w:p>
    <w:p>
      <w:pPr>
        <w:pStyle w:val="668"/>
        <w:ind w:right="1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numPr>
          <w:ilvl w:val="0"/>
          <w:numId w:val="3"/>
        </w:num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ОТВЕТСТВЕННОСТЬ РАБОТНИКОВ</w:t>
      </w:r>
      <w:r/>
    </w:p>
    <w:p>
      <w:pPr>
        <w:pStyle w:val="668"/>
        <w:ind w:left="709" w:right="1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Работники несут дисциплинарную, административную и иную, предусмотренную федеральными законами за неисполнение настоящих Правил, ответственность.</w:t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8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обмена </w:t>
      </w:r>
      <w:r/>
    </w:p>
    <w:p>
      <w:pPr>
        <w:pStyle w:val="668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еловыми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подарками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знаками </w:t>
      </w:r>
      <w:r>
        <w:rPr>
          <w:rFonts w:ascii="Times New Roman" w:hAnsi="Times New Roman" w:cs="Times New Roman"/>
          <w:sz w:val="26"/>
          <w:szCs w:val="26"/>
        </w:rPr>
        <w:t xml:space="preserve">делового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668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гостеприимства</w:t>
      </w:r>
      <w:r>
        <w:rPr>
          <w:rFonts w:ascii="Times New Roman" w:hAnsi="Times New Roman" w:cs="Times New Roman"/>
          <w:sz w:val="26"/>
          <w:szCs w:val="26"/>
        </w:rPr>
        <w:t xml:space="preserve"> в ГОКУ «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/>
    </w:p>
    <w:p>
      <w:pPr>
        <w:pStyle w:val="668"/>
        <w:ind w:firstLine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юридическое бюро Новгородской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/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68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УВЕДОМЛЕНИЯ О ПОЛУЧЕНИИ ПОДАРКА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/>
      <w:r/>
    </w:p>
    <w:p>
      <w:pPr>
        <w:pStyle w:val="6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(должность, ФИО руководителя)</w:t>
      </w:r>
      <w:r/>
    </w:p>
    <w:p>
      <w:pPr>
        <w:pStyle w:val="66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</w:t>
      </w:r>
      <w:r/>
    </w:p>
    <w:p>
      <w:pPr>
        <w:pStyle w:val="6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(Ф.И.О., наименование замещаемой должности)</w:t>
      </w:r>
      <w:r/>
    </w:p>
    <w:p>
      <w:pPr>
        <w:pStyle w:val="6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/>
    </w:p>
    <w:p>
      <w:pPr>
        <w:pStyle w:val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О ПОЛУЧЕНИИ ПОДАРКА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</w:r>
      <w:r>
        <w:rPr>
          <w:b/>
          <w:bCs/>
        </w:rPr>
      </w:r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Извещаю о получении 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ind w:firstLine="720"/>
        <w:jc w:val="center"/>
      </w:pPr>
      <w:r>
        <w:rPr>
          <w:rFonts w:ascii="Times New Roman" w:hAnsi="Times New Roman" w:cs="Times New Roman"/>
        </w:rPr>
        <w:t xml:space="preserve">(дата получения подарка(ов))</w:t>
      </w:r>
      <w:r>
        <w:rPr>
          <w:rFonts w:ascii="Times New Roman" w:hAnsi="Times New Roman" w:cs="Times New Roman"/>
        </w:rPr>
      </w:r>
      <w:r/>
    </w:p>
    <w:p>
      <w:pPr>
        <w:pStyle w:val="1_668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подарка (ов) на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________________________________________________________________________________________ </w:t>
      </w:r>
      <w:r>
        <w:rPr>
          <w:rFonts w:ascii="Times New Roman" w:hAnsi="Times New Roman" w:cs="Times New Roman"/>
        </w:rPr>
      </w:r>
      <w:r/>
    </w:p>
    <w:p>
      <w:pPr>
        <w:pStyle w:val="1_668"/>
        <w:ind w:firstLine="720"/>
        <w:jc w:val="center"/>
      </w:pPr>
      <w:r>
        <w:rPr>
          <w:rFonts w:ascii="Times New Roman" w:hAnsi="Times New Roman" w:cs="Times New Roman"/>
        </w:rPr>
        <w:t xml:space="preserve">(</w:t>
      </w:r>
      <w:r>
        <w:rPr>
          <w:rFonts w:ascii="Times New Roman" w:hAnsi="Times New Roman" w:cs="Times New Roman"/>
        </w:rPr>
        <w:t xml:space="preserve">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</w:rPr>
      </w:r>
      <w:r/>
    </w:p>
    <w:p>
      <w:pPr>
        <w:pStyle w:val="1_668"/>
        <w:ind w:firstLine="720"/>
        <w:jc w:val="center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tbl>
      <w:tblPr>
        <w:tblStyle w:val="1_669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1980"/>
        <w:gridCol w:w="1749"/>
      </w:tblGrid>
      <w:tr>
        <w:trPr/>
        <w:tc>
          <w:tcPr>
            <w:tcW w:w="2520" w:type="dxa"/>
            <w:vAlign w:val="center"/>
            <w:textDirection w:val="lrTb"/>
            <w:noWrap w:val="false"/>
          </w:tcPr>
          <w:p>
            <w:pPr>
              <w:pStyle w:val="1_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center"/>
            <w:textDirection w:val="lrTb"/>
            <w:noWrap w:val="false"/>
          </w:tcPr>
          <w:p>
            <w:pPr>
              <w:pStyle w:val="1_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center"/>
            <w:textDirection w:val="lrTb"/>
            <w:noWrap w:val="false"/>
          </w:tcPr>
          <w:p>
            <w:pPr>
              <w:pStyle w:val="1_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подарков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center"/>
            <w:textDirection w:val="lrTb"/>
            <w:noWrap w:val="false"/>
          </w:tcPr>
          <w:p>
            <w:pPr>
              <w:pStyle w:val="1_66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1_66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рублях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252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78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80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749" w:type="dxa"/>
            <w:vAlign w:val="top"/>
            <w:textDirection w:val="lrTb"/>
            <w:noWrap w:val="false"/>
          </w:tcPr>
          <w:p>
            <w:pPr>
              <w:pStyle w:val="1_66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1_66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Приложение: 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</w:pPr>
      <w:r>
        <w:rPr>
          <w:rFonts w:ascii="Times New Roman" w:hAnsi="Times New Roman" w:cs="Times New Roman"/>
        </w:rPr>
        <w:t xml:space="preserve">указываются документы, подтверждающие стоимость подарка (при их наличии) (кассовый чек, товарный чек, иной документ об оплате (приобретении) подарка), с указанием количества листов и экземпляров в отношении каждого прилагаемого документа</w:t>
      </w:r>
      <w:r>
        <w:rPr>
          <w:rFonts w:ascii="Times New Roman" w:hAnsi="Times New Roman" w:cs="Times New Roman"/>
        </w:rPr>
      </w:r>
      <w:r/>
    </w:p>
    <w:p>
      <w:pPr>
        <w:pStyle w:val="1_668"/>
        <w:jc w:val="center"/>
      </w:pPr>
      <w:r>
        <w:rPr>
          <w:rFonts w:ascii="Times New Roman" w:hAnsi="Times New Roman" w:cs="Times New Roman"/>
        </w:rPr>
      </w:r>
      <w:r/>
      <w:r/>
    </w:p>
    <w:p>
      <w:pPr>
        <w:pStyle w:val="1_66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Лицо, представившее настоящее уведомление о получении подарка: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(дата)</w:t>
      </w:r>
      <w:r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1_667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_667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1_66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Лицо, принявшее настоящее уведомление о получении подарка: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</w:rPr>
        <w:t xml:space="preserve">(дата)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1_667"/>
        <w:jc w:val="both"/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1_667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664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регистрации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4"/>
        <w:ind w:firstLine="0"/>
        <w:jc w:val="left"/>
      </w:pPr>
      <w:r>
        <w:rPr>
          <w:rFonts w:ascii="Times New Roman" w:hAnsi="Times New Roman" w:cs="Times New Roman"/>
          <w:sz w:val="24"/>
          <w:szCs w:val="24"/>
        </w:rPr>
        <w:t xml:space="preserve">«_____»____________ ________г.  за №_________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4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4"/>
        <w:jc w:val="both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Заполняется при наличии документов, подтверждающих стоимость подарка. В случае указания в документах, подтверждающих с</w:t>
      </w:r>
      <w:r>
        <w:rPr>
          <w:rFonts w:ascii="Times New Roman" w:hAnsi="Times New Roman" w:cs="Times New Roman"/>
          <w:sz w:val="24"/>
          <w:szCs w:val="24"/>
        </w:rPr>
        <w:t xml:space="preserve">тоимость подарка, стоимости подарка в иностранной валюте, стоимость подарка указывается в рублях по курсу Банка России на дату проведения протокольного мероприятия, другого официального мероприятия, на дату получения подарка в период служебной командировки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68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Приложение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 Правилам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обмена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8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д</w:t>
      </w:r>
      <w:r>
        <w:rPr>
          <w:rFonts w:ascii="Times New Roman" w:hAnsi="Times New Roman" w:cs="Times New Roman"/>
          <w:sz w:val="26"/>
          <w:szCs w:val="26"/>
        </w:rPr>
        <w:t xml:space="preserve">еловыми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подарками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знаками </w:t>
      </w:r>
      <w:r>
        <w:rPr>
          <w:rFonts w:ascii="Times New Roman" w:hAnsi="Times New Roman" w:cs="Times New Roman"/>
          <w:sz w:val="26"/>
          <w:szCs w:val="26"/>
        </w:rPr>
        <w:t xml:space="preserve">делового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8"/>
        <w:ind w:firstLine="5245"/>
      </w:pPr>
      <w:r>
        <w:rPr>
          <w:rFonts w:ascii="Times New Roman" w:hAnsi="Times New Roman" w:cs="Times New Roman"/>
          <w:sz w:val="26"/>
          <w:szCs w:val="26"/>
        </w:rPr>
        <w:t xml:space="preserve">гостеприимства</w:t>
      </w:r>
      <w:r>
        <w:rPr>
          <w:rFonts w:ascii="Times New Roman" w:hAnsi="Times New Roman" w:cs="Times New Roman"/>
          <w:sz w:val="26"/>
          <w:szCs w:val="26"/>
        </w:rPr>
        <w:t xml:space="preserve"> в ГОКУ «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668"/>
        <w:ind w:firstLine="52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юридическое бюро Новгородской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1_668"/>
        <w:ind w:left="468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1_66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pStyle w:val="1_668"/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О ВЫКУПЕ ПОДАРКА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1_668"/>
        <w:ind w:left="4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1_668"/>
        <w:ind w:left="468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668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(должность, ФИО руководителя)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jc w:val="left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________________________________________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6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(Ф.И.О., наименование замещаемой должности)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  <w:rPr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АЯВЛЕНИЕ </w:t>
      </w: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о выкупе подарка</w:t>
      </w:r>
      <w:r>
        <w:rPr>
          <w:b/>
          <w:bCs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ind w:firstLine="72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рассмотреть вопрос о возможности выкупа подарка (подарков),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полученного (полученных) в связи с протокольными мероприятиями, служебными</w:t>
      </w:r>
      <w:r>
        <w:rPr>
          <w:rFonts w:ascii="Times New Roman" w:hAnsi="Times New Roman" w:cs="Times New Roman"/>
          <w:sz w:val="24"/>
          <w:szCs w:val="24"/>
        </w:rPr>
        <w:t xml:space="preserve"> командировками  и  другими </w:t>
      </w:r>
      <w:r>
        <w:rPr>
          <w:rFonts w:ascii="Times New Roman" w:hAnsi="Times New Roman" w:cs="Times New Roman"/>
          <w:sz w:val="24"/>
          <w:szCs w:val="24"/>
        </w:rPr>
        <w:t xml:space="preserve">официальными мероприятиями, </w:t>
      </w:r>
      <w:r>
        <w:rPr>
          <w:rFonts w:ascii="Times New Roman" w:hAnsi="Times New Roman" w:cs="Times New Roman"/>
          <w:sz w:val="24"/>
          <w:szCs w:val="24"/>
        </w:rPr>
        <w:t xml:space="preserve">участие в которых</w:t>
      </w:r>
      <w:r>
        <w:rPr>
          <w:rFonts w:ascii="Times New Roman" w:hAnsi="Times New Roman" w:cs="Times New Roman"/>
          <w:sz w:val="24"/>
          <w:szCs w:val="24"/>
        </w:rPr>
        <w:t xml:space="preserve"> связано </w:t>
      </w:r>
      <w:r>
        <w:rPr>
          <w:rFonts w:ascii="Times New Roman" w:hAnsi="Times New Roman" w:cs="Times New Roman"/>
          <w:sz w:val="24"/>
          <w:szCs w:val="24"/>
        </w:rPr>
        <w:t xml:space="preserve">с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олжностных </w:t>
      </w:r>
      <w:r>
        <w:rPr>
          <w:rFonts w:ascii="Times New Roman" w:hAnsi="Times New Roman" w:cs="Times New Roman"/>
          <w:sz w:val="24"/>
          <w:szCs w:val="24"/>
        </w:rPr>
        <w:t xml:space="preserve">(служебных) обязанностей 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подчеркнуть)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</w:pPr>
      <w:r>
        <w:rPr>
          <w:rFonts w:ascii="Times New Roman" w:hAnsi="Times New Roman" w:cs="Times New Roman"/>
        </w:rPr>
        <w:t xml:space="preserve">(указать обстоятельства, место и дату получения подарка)</w:t>
      </w:r>
      <w:r>
        <w:rPr>
          <w:rFonts w:ascii="Times New Roman" w:hAnsi="Times New Roman" w:cs="Times New Roman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Подарок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</w:pPr>
      <w:r>
        <w:rPr>
          <w:rFonts w:ascii="Times New Roman" w:hAnsi="Times New Roman" w:cs="Times New Roman"/>
        </w:rPr>
        <w:t xml:space="preserve">(наименование подарка)</w:t>
      </w:r>
      <w:r>
        <w:rPr>
          <w:rFonts w:ascii="Times New Roman" w:hAnsi="Times New Roman" w:cs="Times New Roman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сдан по акту приема-передачи </w:t>
      </w:r>
      <w:r>
        <w:rPr>
          <w:rFonts w:ascii="Times New Roman" w:hAnsi="Times New Roman" w:cs="Times New Roman"/>
          <w:sz w:val="24"/>
          <w:szCs w:val="24"/>
        </w:rPr>
        <w:t xml:space="preserve">№ ____________ от 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 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center"/>
      </w:pPr>
      <w:r>
        <w:rPr>
          <w:rFonts w:ascii="Times New Roman" w:hAnsi="Times New Roman" w:cs="Times New Roman"/>
        </w:rPr>
        <w:t xml:space="preserve">(наименование учреждения)</w:t>
      </w:r>
      <w:r>
        <w:rPr>
          <w:rFonts w:ascii="Times New Roman" w:hAnsi="Times New Roman" w:cs="Times New Roman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sz w:val="24"/>
          <w:szCs w:val="24"/>
        </w:rPr>
        <w:t xml:space="preserve"> _______________ 20_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_ г.   _______</w:t>
      </w:r>
      <w:r>
        <w:rPr>
          <w:rFonts w:ascii="Times New Roman" w:hAnsi="Times New Roman" w:cs="Times New Roman"/>
          <w:sz w:val="24"/>
          <w:szCs w:val="24"/>
        </w:rPr>
        <w:t xml:space="preserve">____</w:t>
      </w:r>
      <w:r>
        <w:rPr>
          <w:rFonts w:ascii="Times New Roman" w:hAnsi="Times New Roman" w:cs="Times New Roman"/>
          <w:sz w:val="24"/>
          <w:szCs w:val="24"/>
        </w:rPr>
        <w:t xml:space="preserve">____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66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(подпись)                                     (р</w:t>
      </w:r>
      <w:r>
        <w:rPr>
          <w:rFonts w:ascii="Times New Roman" w:hAnsi="Times New Roman" w:cs="Times New Roman"/>
        </w:rPr>
        <w:t xml:space="preserve">асшифровка подписи)</w:t>
      </w:r>
      <w:r>
        <w:rPr>
          <w:rFonts w:ascii="Times New Roman" w:hAnsi="Times New Roman" w:cs="Times New Roman"/>
        </w:rPr>
      </w:r>
      <w:r/>
    </w:p>
    <w:p>
      <w:pPr>
        <w:pStyle w:val="1_6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/>
    </w:p>
    <w:p>
      <w:pPr>
        <w:pStyle w:val="6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5" w:right="567" w:bottom="993" w:left="851" w:header="284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2132085870"/>
      <w:docPartObj>
        <w:docPartGallery w:val="Page Numbers (Top of Page)"/>
        <w:docPartUnique w:val="true"/>
      </w:docPartObj>
      <w:rPr/>
    </w:sdtPr>
    <w:sdtContent>
      <w:p>
        <w:pPr>
          <w:pStyle w:val="669"/>
          <w:jc w:val="center"/>
        </w:pPr>
        <w:r>
          <w:rPr>
            <w:rFonts w:ascii="Times New Roman" w:hAnsi="Times New Roman" w:cs="Times New Roman"/>
          </w:rPr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</w:r>
        <w:r/>
      </w:p>
    </w:sdtContent>
  </w:sdt>
  <w:p>
    <w:pPr>
      <w:pStyle w:val="66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64"/>
    <w:next w:val="66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6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4"/>
    <w:next w:val="66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6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4"/>
    <w:next w:val="66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6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4"/>
    <w:next w:val="66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6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4"/>
    <w:next w:val="66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6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4"/>
    <w:next w:val="66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6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4"/>
    <w:next w:val="66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6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4"/>
    <w:next w:val="66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6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4"/>
    <w:next w:val="66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6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64"/>
    <w:uiPriority w:val="34"/>
    <w:qFormat/>
    <w:pPr>
      <w:contextualSpacing/>
      <w:ind w:left="720"/>
    </w:pPr>
  </w:style>
  <w:style w:type="paragraph" w:styleId="33">
    <w:name w:val="Title"/>
    <w:basedOn w:val="664"/>
    <w:next w:val="66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65"/>
    <w:link w:val="33"/>
    <w:uiPriority w:val="10"/>
    <w:rPr>
      <w:sz w:val="48"/>
      <w:szCs w:val="48"/>
    </w:rPr>
  </w:style>
  <w:style w:type="paragraph" w:styleId="35">
    <w:name w:val="Subtitle"/>
    <w:basedOn w:val="664"/>
    <w:next w:val="66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65"/>
    <w:link w:val="35"/>
    <w:uiPriority w:val="11"/>
    <w:rPr>
      <w:sz w:val="24"/>
      <w:szCs w:val="24"/>
    </w:rPr>
  </w:style>
  <w:style w:type="paragraph" w:styleId="37">
    <w:name w:val="Quote"/>
    <w:basedOn w:val="664"/>
    <w:next w:val="66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4"/>
    <w:next w:val="66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65"/>
    <w:link w:val="669"/>
    <w:uiPriority w:val="99"/>
  </w:style>
  <w:style w:type="character" w:styleId="44">
    <w:name w:val="Footer Char"/>
    <w:basedOn w:val="665"/>
    <w:link w:val="671"/>
    <w:uiPriority w:val="99"/>
  </w:style>
  <w:style w:type="paragraph" w:styleId="45">
    <w:name w:val="Caption"/>
    <w:basedOn w:val="664"/>
    <w:next w:val="66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71"/>
    <w:uiPriority w:val="99"/>
  </w:style>
  <w:style w:type="table" w:styleId="47">
    <w:name w:val="Table Grid"/>
    <w:basedOn w:val="66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6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65"/>
    <w:uiPriority w:val="99"/>
    <w:unhideWhenUsed/>
    <w:rPr>
      <w:vertAlign w:val="superscript"/>
    </w:rPr>
  </w:style>
  <w:style w:type="paragraph" w:styleId="177">
    <w:name w:val="endnote text"/>
    <w:basedOn w:val="66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65"/>
    <w:uiPriority w:val="99"/>
    <w:semiHidden/>
    <w:unhideWhenUsed/>
    <w:rPr>
      <w:vertAlign w:val="superscript"/>
    </w:rPr>
  </w:style>
  <w:style w:type="paragraph" w:styleId="180">
    <w:name w:val="toc 1"/>
    <w:basedOn w:val="664"/>
    <w:next w:val="66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4"/>
    <w:next w:val="66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4"/>
    <w:next w:val="66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4"/>
    <w:next w:val="66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4"/>
    <w:next w:val="66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4"/>
    <w:next w:val="66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4"/>
    <w:next w:val="66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4"/>
    <w:next w:val="66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4"/>
    <w:next w:val="66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4"/>
    <w:next w:val="664"/>
    <w:uiPriority w:val="99"/>
    <w:unhideWhenUsed/>
    <w:pPr>
      <w:spacing w:after="0" w:afterAutospacing="0"/>
    </w:pPr>
  </w:style>
  <w:style w:type="paragraph" w:styleId="66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65" w:default="1">
    <w:name w:val="Default Paragraph Font"/>
    <w:uiPriority w:val="1"/>
    <w:semiHidden/>
    <w:unhideWhenUsed/>
  </w:style>
  <w:style w:type="table" w:styleId="6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7" w:default="1">
    <w:name w:val="No List"/>
    <w:uiPriority w:val="99"/>
    <w:semiHidden/>
    <w:unhideWhenUsed/>
  </w:style>
  <w:style w:type="paragraph" w:styleId="668">
    <w:name w:val="No Spacing"/>
    <w:uiPriority w:val="1"/>
    <w:qFormat/>
    <w:pPr>
      <w:spacing w:after="0" w:line="240" w:lineRule="auto"/>
    </w:pPr>
  </w:style>
  <w:style w:type="paragraph" w:styleId="669">
    <w:name w:val="Header"/>
    <w:basedOn w:val="664"/>
    <w:link w:val="670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670" w:customStyle="1">
    <w:name w:val="Верхний колонтитул Знак"/>
    <w:basedOn w:val="665"/>
    <w:link w:val="669"/>
    <w:uiPriority w:val="99"/>
  </w:style>
  <w:style w:type="paragraph" w:styleId="671">
    <w:name w:val="Footer"/>
    <w:basedOn w:val="664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65"/>
    <w:link w:val="671"/>
    <w:uiPriority w:val="99"/>
  </w:style>
  <w:style w:type="paragraph" w:styleId="673">
    <w:name w:val="Balloon Text"/>
    <w:basedOn w:val="664"/>
    <w:link w:val="6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74" w:customStyle="1">
    <w:name w:val="Текст выноски Знак"/>
    <w:basedOn w:val="665"/>
    <w:link w:val="67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1_668" w:customStyle="1">
    <w:name w:val="ConsPlusNonformat"/>
    <w:next w:val="602"/>
    <w:link w:val="59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Calibri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7" w:customStyle="1">
    <w:name w:val="ConsPlusNormal"/>
    <w:next w:val="601"/>
    <w:link w:val="59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table" w:styleId="1_669" w:customStyle="1">
    <w:name w:val="Сетка таблицы"/>
    <w:basedOn w:val="599"/>
    <w:next w:val="603"/>
    <w:link w:val="59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60" w:afterAutospacing="0" w:line="259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10" w:type="dxa"/>
        <w:top w:w="0" w:type="dxa"/>
        <w:right w:w="10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9D715-5219-4D7F-99EC-3A83F628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 Владимир Олегович</dc:creator>
  <cp:keywords/>
  <dc:description/>
  <cp:revision>22</cp:revision>
  <dcterms:created xsi:type="dcterms:W3CDTF">2020-10-15T13:09:00Z</dcterms:created>
  <dcterms:modified xsi:type="dcterms:W3CDTF">2024-12-19T08:42:01Z</dcterms:modified>
</cp:coreProperties>
</file>