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39" cy="652061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173" t="-144" r="-173" b="-144"/>
                        <a:stretch/>
                      </pic:blipFill>
                      <pic:spPr bwMode="auto">
                        <a:xfrm>
                          <a:off x="0" y="0"/>
                          <a:ext cx="546939" cy="652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pt;height:51.3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2"/>
        </w:rPr>
      </w:r>
      <w:r/>
    </w:p>
    <w:p>
      <w:pPr>
        <w:pStyle w:val="847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</w:r>
      <w:r/>
    </w:p>
    <w:p>
      <w:pPr>
        <w:pStyle w:val="847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Российская Федерация</w:t>
      </w:r>
      <w:r>
        <w:rPr>
          <w:b/>
        </w:rPr>
      </w:r>
      <w:r/>
    </w:p>
    <w:p>
      <w:pPr>
        <w:pStyle w:val="847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Новгородская область</w:t>
      </w:r>
      <w:r>
        <w:rPr>
          <w:b/>
        </w:rPr>
      </w:r>
      <w:r/>
    </w:p>
    <w:p>
      <w:pPr>
        <w:pStyle w:val="847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47"/>
        <w:ind w:left="0" w:right="0" w:firstLine="0"/>
        <w:jc w:val="center"/>
        <w:spacing w:line="240" w:lineRule="auto"/>
        <w:rPr>
          <w:b/>
        </w:rPr>
      </w:pPr>
      <w:r>
        <w:rPr>
          <w:b/>
        </w:rPr>
        <w:t xml:space="preserve">Комитет записи актов гражданского состояния и организационного обеспечения деятельности мировых судей Новгородской области</w:t>
      </w:r>
      <w:r>
        <w:rPr>
          <w:b/>
        </w:rPr>
      </w:r>
      <w:r/>
    </w:p>
    <w:p>
      <w:pPr>
        <w:pStyle w:val="847"/>
        <w:ind w:left="0" w:right="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89"/>
        <w:ind w:left="-142" w:right="142" w:firstLine="0"/>
        <w:jc w:val="center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ОБЛАСТНОЕ КАЗЕННОЕ УЧРЕЖДЕНИЕ «ГОСУДАРСТВЕННОЕ ЮРИДИЧЕСКОЕ БЮРО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889"/>
        <w:ind w:left="-142" w:right="142" w:firstLine="0"/>
        <w:jc w:val="center"/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НОВГОРОДСКОЙ ОБЛАСТИ» </w:t>
      </w:r>
      <w:r>
        <w:rPr>
          <w:b/>
        </w:rPr>
      </w:r>
      <w:r/>
    </w:p>
    <w:p>
      <w:pPr>
        <w:ind w:left="-142" w:right="140" w:firstLine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/>
    </w:p>
    <w:p>
      <w:pPr>
        <w:pStyle w:val="847"/>
        <w:ind w:left="-142" w:right="14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/>
    </w:p>
    <w:p>
      <w:pPr>
        <w:pStyle w:val="847"/>
        <w:ind w:left="0" w:right="140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47"/>
        <w:ind w:left="-142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09» декабря</w:t>
      </w:r>
      <w:r>
        <w:rPr>
          <w:sz w:val="28"/>
          <w:szCs w:val="28"/>
        </w:rPr>
        <w:t xml:space="preserve"> 2024 года                                                                              № </w:t>
      </w:r>
      <w:r>
        <w:rPr>
          <w:sz w:val="28"/>
          <w:szCs w:val="28"/>
        </w:rPr>
        <w:t xml:space="preserve">44-ОД    </w:t>
      </w:r>
      <w:r>
        <w:rPr>
          <w:sz w:val="28"/>
          <w:szCs w:val="28"/>
        </w:rPr>
      </w:r>
      <w:r/>
    </w:p>
    <w:p>
      <w:pPr>
        <w:pStyle w:val="847"/>
        <w:ind w:left="-142" w:right="140" w:firstLine="0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p>
      <w:pPr>
        <w:pStyle w:val="847"/>
        <w:ind w:left="-142" w:right="1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Великий Новгород</w:t>
      </w:r>
      <w:r>
        <w:rPr>
          <w:sz w:val="28"/>
          <w:szCs w:val="28"/>
        </w:rPr>
      </w:r>
      <w:r/>
    </w:p>
    <w:p>
      <w:pPr>
        <w:pStyle w:val="847"/>
        <w:ind w:left="-142" w:right="140" w:firstLine="0"/>
        <w:jc w:val="center"/>
        <w:rPr>
          <w:b/>
          <w:sz w:val="28"/>
          <w:szCs w:val="28"/>
        </w:rPr>
      </w:pPr>
      <w:r>
        <w:rPr>
          <w:sz w:val="32"/>
          <w:szCs w:val="32"/>
        </w:rPr>
      </w:r>
      <w:r>
        <w:rPr>
          <w:sz w:val="28"/>
          <w:szCs w:val="28"/>
        </w:rPr>
        <w:tab/>
        <w:tab/>
      </w:r>
      <w:r>
        <w:rPr>
          <w:b/>
          <w:sz w:val="28"/>
          <w:szCs w:val="28"/>
        </w:rPr>
      </w:r>
      <w:r/>
    </w:p>
    <w:p>
      <w:pPr>
        <w:pStyle w:val="847"/>
        <w:jc w:val="center"/>
        <w:spacing w:line="240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б утверждении Порядка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трудоустройстве в ГОКУ «Государственное юридическое бюро Новгородской области» гражданина, замещавшего должности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государственной,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службы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замещавших должности работников,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включенных в Перечень должностей</w:t>
      </w:r>
      <w:r>
        <w:rPr>
          <w:b/>
          <w:bCs/>
          <w:sz w:val="28"/>
          <w:szCs w:val="28"/>
        </w:rPr>
      </w:r>
      <w:r/>
    </w:p>
    <w:p>
      <w:pPr>
        <w:pStyle w:val="847"/>
        <w:ind w:left="-142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частью 4 статьи 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 декабря 2008 года № 273-ФЗ «</w:t>
      </w:r>
      <w:r>
        <w:rPr>
          <w:sz w:val="28"/>
          <w:szCs w:val="28"/>
        </w:rPr>
        <w:t xml:space="preserve">О противодействии коррупции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статьей 64.1. Трудового Кодекса Российской Федерации, </w:t>
      </w:r>
      <w:r>
        <w:rPr>
          <w:sz w:val="28"/>
          <w:szCs w:val="28"/>
        </w:rPr>
        <w:t xml:space="preserve">руководствуясь  пунктом  6.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Устава государственного областного казенного учреждения, утвержденного приказом комитета записи актов гражданского состояния и организационного обеспечения деятельности мировых судей Новгородской области №</w:t>
      </w:r>
      <w:r>
        <w:rPr>
          <w:sz w:val="28"/>
          <w:szCs w:val="28"/>
        </w:rPr>
        <w:t xml:space="preserve"> 205-ОД от 08.09.2022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/>
    </w:p>
    <w:p>
      <w:pPr>
        <w:pStyle w:val="899"/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9"/>
        <w:ind w:left="0" w:right="0" w:firstLine="0"/>
        <w:jc w:val="both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</w:t>
      </w:r>
      <w:r/>
    </w:p>
    <w:p>
      <w:pPr>
        <w:pStyle w:val="899"/>
        <w:ind w:left="0" w:right="0" w:firstLine="0"/>
        <w:jc w:val="both"/>
        <w:spacing w:line="240" w:lineRule="auto"/>
      </w:pPr>
      <w:r/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</w:rPr>
        <w:outlineLvl w:val="0"/>
      </w:pPr>
      <w:r>
        <w:rPr>
          <w:b w:val="0"/>
          <w:bCs w:val="0"/>
          <w:sz w:val="28"/>
          <w:szCs w:val="28"/>
        </w:rPr>
        <w:t xml:space="preserve">1. Утвердить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уведомления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трудоустройстве в ГОКУ «Государственное юридическое бюро Новгородской области» гражданина, замещавшего должности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государственной,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муниципальной службы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замещавших должности работников,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включенных в Перечень должностей, замещаемых на 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сновании трудового договора в организациях, созданных для выполнения задач, поставленных перед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 иных орг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анизациях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создаваемых для выполнения задач, поставленных перед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федеральными государственными органами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Российской Федерации (далее Порядок, учреждение).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Довести приказ и утвержденный им Порядок до сведения работников учреждения</w:t>
      </w:r>
      <w:r>
        <w:rPr>
          <w:sz w:val="28"/>
          <w:szCs w:val="26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47"/>
        <w:ind w:firstLine="709"/>
        <w:jc w:val="both"/>
        <w:spacing w:line="283" w:lineRule="atLeast"/>
      </w:pPr>
      <w:r>
        <w:rPr>
          <w:sz w:val="28"/>
          <w:szCs w:val="28"/>
        </w:rPr>
        <w:t xml:space="preserve">3.  Контроль за исполнением приказа оставляю за собой.</w:t>
      </w:r>
      <w:r>
        <w:rPr>
          <w:sz w:val="28"/>
          <w:szCs w:val="28"/>
        </w:rPr>
      </w:r>
      <w:r/>
    </w:p>
    <w:p>
      <w:pPr>
        <w:pStyle w:val="847"/>
        <w:ind w:left="0" w:right="14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left="0" w:right="-2" w:firstLine="0"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Директор                                                                                               Н.А. Панов</w:t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9"/>
        <w:jc w:val="center"/>
        <w:spacing w:after="120" w:line="240" w:lineRule="exact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9"/>
        <w:ind w:left="0" w:right="0" w:firstLine="4252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областного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9"/>
        <w:ind w:left="0" w:right="0" w:firstLine="4252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«Государственное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9"/>
        <w:ind w:left="0" w:right="0" w:firstLine="4252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бюро Новгородской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9"/>
        <w:ind w:left="0" w:right="0" w:firstLine="4252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9"/>
        <w:ind w:left="0" w:right="0" w:firstLine="4252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«09».12.2024 № 44-ОД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jc w:val="left"/>
        <w:spacing w:after="0" w:line="240" w:lineRule="auto"/>
        <w:shd w:val="clear" w:color="auto" w:fill="ffffff"/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</w:rPr>
      </w:r>
      <w:r/>
    </w:p>
    <w:p>
      <w:pPr>
        <w:jc w:val="center"/>
        <w:spacing w:after="0" w:line="240" w:lineRule="auto"/>
        <w:shd w:val="clear" w:color="auto" w:fill="ffffff"/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трудоустройстве в ГОКУ «Государственное юридическое бюро Новгородской области» гражданина, замещавшего должности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государственной,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службы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замещавших должности работников,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включенных в Перечень должностей, замещаемых на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сновании трудового договора в организациях, созданных для выполнения задач, поставленных перед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 иных орг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анизациях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создаваемых для выполнения задач, поставленных перед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федеральными государственными органами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338" w:lineRule="atLeast"/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</w:r>
    </w:p>
    <w:p>
      <w:pPr>
        <w:ind w:firstLine="709"/>
        <w:jc w:val="center"/>
        <w:spacing w:after="0" w:line="338" w:lineRule="atLeast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9"/>
        <w:jc w:val="center"/>
        <w:spacing w:after="0" w:line="338" w:lineRule="atLeast"/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Когда работодатель заключает трудовой договор с гражданином, который замещал определенную законодательством должность государственной или муниципальной службы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(далее бывший госслужащий)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а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замещавших должности работников,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включенных в Перечень должностей, замещаемых на основании трудового договора в организ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ациях, созданных для выполнения задач, поставленных перед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 иных организациях, создаваемых для выполнения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задач, поставленных перед федеральными государственными органами Российской Федерации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(далее работники)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, при назначении на которые и при замещении которых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(далее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еречень)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с момента увольнения которого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с такой службы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(работы)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не прошло более двух лет, новый работодатель обязан сообщать о заключении трудового договора бывшему работодателю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бывшего госслужащего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(работника)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в соответствующий государственный или муниципальный орган в соответствии с </w:t>
      </w:r>
      <w:hyperlink r:id="rId12" w:tooltip="https://login.consultant.ru/link/?req=doc&amp;base=LAW&amp;n=289887&amp;dst=1716&amp;demo=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ч</w:t>
        </w:r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астью 3 статьи 64.1 Трудового Кодекса 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статьей 349.2 Трудового Кодекса РФ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Чтобы работодателю убедиться, что должность бывшего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служащего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входит в перечни,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нужно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ознакомиться с перечнями в справочно-правовых системах;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- зайти на официальном сайте федерального государственного органа в раздел, посвященный вопросам противодействия коррупции;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- воспользоваться официальным сайтом органа государственной власти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субъекта РФ или органа местного самоуправления, в котором бывший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гос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служащий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или работник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проходил государственную (муниципальную) службу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или работал на основании трудового договора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- обратиться с запросом в федеральный государственный орган, орган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государственное власти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субъекта РФ или орган местного самоуправления, в которых бывший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гос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служащий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или работник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проходил службу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, работал на основании трудового договора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Если должность бывшего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гос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служащего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(работника)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в таких перечнях не поименована, 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на него не представляется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1.3. Если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работник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учреждения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уже трудился до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трудоустройства в учреждение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на негосударственной службе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/работе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, подать 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также необходимо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, если со дня увольнения работника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госслужбы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/работы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не прошло более 2 лет.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1.4.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Если работодатель заключает не трудовой договор, а договор ГПХ с бывшим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гос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служащим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/работником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, необходимо учитывать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что по договору ГПХ уведомление направляется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при определенных условиях. Уведомление по заключенному ГПД нужно будет подать, если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в соответствии с </w:t>
      </w:r>
      <w:hyperlink r:id="rId13" w:tooltip="https://login.consultant.ru/link/?req=doc&amp;base=LAW&amp;n=219266&amp;dst=29&amp;demo=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частями 1, 4 статьи 12 Федерального закона от 25.12.2008 № 273-ФЗ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«О противодействии коррупции,  </w:t>
      </w:r>
      <w:hyperlink r:id="rId14" w:tooltip="https://login.consultant.ru/link/?req=doc&amp;base=LAW&amp;n=283726&amp;dst=4294967295&amp;demo=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п. 2 Постановления Пленума </w:t>
        </w:r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ВС</w:t>
        </w:r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от 28.11.2017 № 46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):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стоимость выполняемых работ (оказываемых услуг) по договору (договорам) превышает 100 000 рублей в месяц;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стоимость выполняемых работ (оказываемых услуг) по договору (договорам) превышает 100 000 рублей, но такой договор (договоры) заключен на срок менее месяца.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Сроки уведомления о приеме на работу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бывшего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госслужащего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(работника)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Работодатель должен представить однократно уведомление о приеме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бывшего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госслужащего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/работника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срок, равный 10 календарным дням, следующим за днем заключения трудового договора или договора ГПХ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 последний день срока приходится на нерабочий день, он переносится на ближайший следующий за ним рабочий день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2.3.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сли бывший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служащий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/работник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принимается на работу на условиях совместительства, то уведомление нужно подать только на внешнего совместителя. Если бывший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служащий трудится у одного и того же работодателя как основной работник, а затем еще и принимается как внутренний совместитель, подавать отдельное уведомление на совместителя не нужно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формление уведомления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о приеме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бывшего гос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служащего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/работника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Уведомление (также часто именуемое сообщением) оформляется на фирменном бланке организации, подписывается ее руководителем или уполномоченным лицом, который подписал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 работником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трудовой договор или ГПД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 уведомлении должны содержаться следующие сведения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 фамилия, имя, отчество бывшего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служащего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/работника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(если изменялись, то указываются прежние данные);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число, месяц, год и место его рождения;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должность, замещаемая гражданином непосредственно перед увольнением с государственной или муниципальной службы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/работы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(сведения берутся из трудовой книжки);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полное и сокра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щенное наименование организации;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дата и номер приказа (распоряжения)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иного решения работодателя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дата заключения трудового договора и срок, на который он заключен (указывается дата начала работы, а в случае, если заключается срочный трудовой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оговор, срок его действия);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должности, которую занимает гражданин по трудовому договору в соответствии со штатным расписанием, а также структурное подразделен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ие организации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должностные обязанности, исполняемые по должности, занимаемой гражданином (указываются основные направления поручаемой работы).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806"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если с гражданином заключен гражданско-правовой договор, наряду с вышеуказанными сведениями также указываются следующие данные: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806"/>
        <w:ind w:left="0"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дата и номер гражданско-правового договора;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806"/>
        <w:ind w:left="0"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срок гражданско-правового договора (сроки начала и окончания выполнения работ (оказания услуг);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806"/>
        <w:ind w:left="0"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предмет гражданско-правового договора (с кратким описанием работы (услуги) и ее результата);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806"/>
        <w:ind w:left="0"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стоимость работ (услуг) по гражданско-правовому договору.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Уведомление направляется по почте (с описью вложения и уведомлением о вручении) или передается лично (в этом случае необходима отметка о получении на экземпляре работодателя).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270" w:right="680" w:bottom="1134" w:left="1871" w:header="124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/>
    <w:r/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</w:p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8"/>
      <w:isLgl w:val="false"/>
      <w:suff w:val="nothing"/>
      <w:lvlText w:val=""/>
      <w:lvlJc w:val="left"/>
      <w:pPr>
        <w:pStyle w:val="847"/>
        <w:ind w:left="0" w:firstLine="0"/>
        <w:tabs>
          <w:tab w:val="num" w:pos="0" w:leader="none"/>
        </w:tabs>
      </w:pPr>
    </w:lvl>
    <w:lvl w:ilvl="1">
      <w:start w:val="1"/>
      <w:numFmt w:val="decimal"/>
      <w:pStyle w:val="849"/>
      <w:isLgl w:val="false"/>
      <w:suff w:val="nothing"/>
      <w:lvlText w:val=""/>
      <w:lvlJc w:val="left"/>
      <w:pPr>
        <w:pStyle w:val="847"/>
        <w:ind w:left="0" w:firstLine="0"/>
        <w:tabs>
          <w:tab w:val="num" w:pos="0" w:leader="none"/>
        </w:tabs>
      </w:pPr>
    </w:lvl>
    <w:lvl w:ilvl="2">
      <w:start w:val="1"/>
      <w:numFmt w:val="decimal"/>
      <w:pStyle w:val="850"/>
      <w:isLgl w:val="false"/>
      <w:suff w:val="nothing"/>
      <w:lvlText w:val=""/>
      <w:lvlJc w:val="left"/>
      <w:pPr>
        <w:pStyle w:val="847"/>
        <w:ind w:left="0" w:firstLine="0"/>
        <w:tabs>
          <w:tab w:val="num" w:pos="0" w:leader="none"/>
        </w:tabs>
      </w:pPr>
    </w:lvl>
    <w:lvl w:ilvl="3">
      <w:start w:val="1"/>
      <w:numFmt w:val="decimal"/>
      <w:pStyle w:val="851"/>
      <w:isLgl w:val="false"/>
      <w:suff w:val="nothing"/>
      <w:lvlText w:val=""/>
      <w:lvlJc w:val="left"/>
      <w:pPr>
        <w:pStyle w:val="847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7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7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7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7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7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7"/>
    <w:next w:val="847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7"/>
    <w:next w:val="847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7"/>
    <w:next w:val="847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7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7"/>
    <w:next w:val="847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7"/>
    <w:next w:val="847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7"/>
    <w:next w:val="847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7"/>
    <w:next w:val="847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7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7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7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7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7"/>
    <w:next w:val="847"/>
    <w:uiPriority w:val="99"/>
    <w:unhideWhenUsed/>
    <w:pPr>
      <w:spacing w:after="0" w:afterAutospacing="0"/>
    </w:pPr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7" w:default="1">
    <w:name w:val="Normal"/>
    <w:next w:val="847"/>
    <w:link w:val="84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8">
    <w:name w:val="Заголовок 1"/>
    <w:basedOn w:val="847"/>
    <w:next w:val="847"/>
    <w:link w:val="847"/>
    <w:pPr>
      <w:numPr>
        <w:ilvl w:val="0"/>
        <w:numId w:val="1"/>
      </w:numPr>
      <w:keepNext/>
      <w:outlineLvl w:val="0"/>
    </w:pPr>
    <w:rPr>
      <w:sz w:val="28"/>
    </w:rPr>
  </w:style>
  <w:style w:type="paragraph" w:styleId="849">
    <w:name w:val="Заголовок 2"/>
    <w:basedOn w:val="847"/>
    <w:next w:val="847"/>
    <w:link w:val="847"/>
    <w:pPr>
      <w:numPr>
        <w:ilvl w:val="1"/>
        <w:numId w:val="1"/>
      </w:numPr>
      <w:jc w:val="center"/>
      <w:keepNext/>
      <w:outlineLvl w:val="1"/>
    </w:pPr>
    <w:rPr>
      <w:b/>
      <w:sz w:val="32"/>
      <w:szCs w:val="20"/>
    </w:rPr>
  </w:style>
  <w:style w:type="paragraph" w:styleId="850">
    <w:name w:val="Заголовок 3"/>
    <w:basedOn w:val="847"/>
    <w:next w:val="847"/>
    <w:link w:val="847"/>
    <w:pPr>
      <w:numPr>
        <w:ilvl w:val="2"/>
        <w:numId w:val="1"/>
      </w:numPr>
      <w:jc w:val="center"/>
      <w:keepNext/>
      <w:outlineLvl w:val="2"/>
    </w:pPr>
    <w:rPr>
      <w:b/>
      <w:szCs w:val="20"/>
    </w:rPr>
  </w:style>
  <w:style w:type="paragraph" w:styleId="851">
    <w:name w:val="Заголовок 4"/>
    <w:basedOn w:val="847"/>
    <w:next w:val="847"/>
    <w:link w:val="847"/>
    <w:pPr>
      <w:numPr>
        <w:ilvl w:val="3"/>
        <w:numId w:val="1"/>
      </w:numPr>
      <w:jc w:val="center"/>
      <w:keepNext/>
      <w:outlineLvl w:val="3"/>
    </w:pPr>
    <w:rPr>
      <w:b/>
      <w:sz w:val="28"/>
      <w:szCs w:val="20"/>
      <w:u w:val="single"/>
    </w:rPr>
  </w:style>
  <w:style w:type="character" w:styleId="852">
    <w:name w:val="WW8Num1z0"/>
    <w:next w:val="852"/>
    <w:link w:val="847"/>
  </w:style>
  <w:style w:type="character" w:styleId="853">
    <w:name w:val="WW8Num1z1"/>
    <w:next w:val="853"/>
    <w:link w:val="847"/>
  </w:style>
  <w:style w:type="character" w:styleId="854">
    <w:name w:val="WW8Num1z2"/>
    <w:next w:val="854"/>
    <w:link w:val="847"/>
  </w:style>
  <w:style w:type="character" w:styleId="855">
    <w:name w:val="WW8Num1z3"/>
    <w:next w:val="855"/>
    <w:link w:val="847"/>
  </w:style>
  <w:style w:type="character" w:styleId="856">
    <w:name w:val="WW8Num1z4"/>
    <w:next w:val="856"/>
    <w:link w:val="847"/>
  </w:style>
  <w:style w:type="character" w:styleId="857">
    <w:name w:val="WW8Num1z5"/>
    <w:next w:val="857"/>
    <w:link w:val="847"/>
  </w:style>
  <w:style w:type="character" w:styleId="858">
    <w:name w:val="WW8Num1z6"/>
    <w:next w:val="858"/>
    <w:link w:val="847"/>
  </w:style>
  <w:style w:type="character" w:styleId="859">
    <w:name w:val="WW8Num1z7"/>
    <w:next w:val="859"/>
    <w:link w:val="847"/>
  </w:style>
  <w:style w:type="character" w:styleId="860">
    <w:name w:val="WW8Num1z8"/>
    <w:next w:val="860"/>
    <w:link w:val="847"/>
  </w:style>
  <w:style w:type="character" w:styleId="861">
    <w:name w:val="WW8Num2z0"/>
    <w:next w:val="861"/>
    <w:link w:val="847"/>
    <w:rPr>
      <w:rFonts w:ascii="Times New Roman" w:hAnsi="Times New Roman" w:eastAsia="Times New Roman" w:cs="Times New Roman"/>
    </w:rPr>
  </w:style>
  <w:style w:type="character" w:styleId="862">
    <w:name w:val="WW8Num2z1"/>
    <w:next w:val="862"/>
    <w:link w:val="847"/>
    <w:rPr>
      <w:rFonts w:ascii="Courier New" w:hAnsi="Courier New" w:cs="Courier New"/>
    </w:rPr>
  </w:style>
  <w:style w:type="character" w:styleId="863">
    <w:name w:val="WW8Num2z2"/>
    <w:next w:val="863"/>
    <w:link w:val="847"/>
    <w:rPr>
      <w:rFonts w:ascii="Wingdings" w:hAnsi="Wingdings" w:cs="Wingdings"/>
    </w:rPr>
  </w:style>
  <w:style w:type="character" w:styleId="864">
    <w:name w:val="WW8Num2z3"/>
    <w:next w:val="864"/>
    <w:link w:val="847"/>
    <w:rPr>
      <w:rFonts w:ascii="Symbol" w:hAnsi="Symbol" w:cs="Symbol"/>
    </w:rPr>
  </w:style>
  <w:style w:type="character" w:styleId="865">
    <w:name w:val="WW8Num4z0"/>
    <w:next w:val="865"/>
    <w:link w:val="847"/>
    <w:rPr>
      <w:rFonts w:ascii="Times New Roman" w:hAnsi="Times New Roman" w:eastAsia="Times New Roman" w:cs="Times New Roman"/>
    </w:rPr>
  </w:style>
  <w:style w:type="character" w:styleId="866">
    <w:name w:val="WW8Num4z1"/>
    <w:next w:val="866"/>
    <w:link w:val="847"/>
    <w:rPr>
      <w:rFonts w:ascii="Courier New" w:hAnsi="Courier New" w:cs="Courier New"/>
    </w:rPr>
  </w:style>
  <w:style w:type="character" w:styleId="867">
    <w:name w:val="WW8Num4z2"/>
    <w:next w:val="867"/>
    <w:rPr>
      <w:rFonts w:ascii="Wingdings" w:hAnsi="Wingdings" w:cs="Wingdings"/>
    </w:rPr>
  </w:style>
  <w:style w:type="character" w:styleId="868">
    <w:name w:val="WW8Num4z3"/>
    <w:next w:val="868"/>
    <w:rPr>
      <w:rFonts w:ascii="Symbol" w:hAnsi="Symbol" w:cs="Symbol"/>
    </w:rPr>
  </w:style>
  <w:style w:type="character" w:styleId="869">
    <w:name w:val="WW8Num5z0"/>
    <w:next w:val="869"/>
    <w:rPr>
      <w:rFonts w:ascii="Times New Roman" w:hAnsi="Times New Roman" w:eastAsia="Times New Roman" w:cs="Times New Roman"/>
    </w:rPr>
  </w:style>
  <w:style w:type="character" w:styleId="870">
    <w:name w:val="WW8Num5z1"/>
    <w:next w:val="870"/>
    <w:link w:val="847"/>
    <w:rPr>
      <w:rFonts w:ascii="Courier New" w:hAnsi="Courier New" w:cs="Courier New"/>
    </w:rPr>
  </w:style>
  <w:style w:type="character" w:styleId="871">
    <w:name w:val="WW8Num5z2"/>
    <w:next w:val="871"/>
    <w:rPr>
      <w:rFonts w:ascii="Wingdings" w:hAnsi="Wingdings" w:cs="Wingdings"/>
    </w:rPr>
  </w:style>
  <w:style w:type="character" w:styleId="872">
    <w:name w:val="WW8Num5z3"/>
    <w:next w:val="872"/>
    <w:link w:val="847"/>
    <w:rPr>
      <w:rFonts w:ascii="Symbol" w:hAnsi="Symbol" w:cs="Symbol"/>
    </w:rPr>
  </w:style>
  <w:style w:type="character" w:styleId="873">
    <w:name w:val="WW8Num6z0"/>
    <w:next w:val="873"/>
    <w:link w:val="847"/>
  </w:style>
  <w:style w:type="character" w:styleId="874">
    <w:name w:val="WW8Num7z0"/>
    <w:next w:val="874"/>
    <w:rPr>
      <w:rFonts w:ascii="Symbol" w:hAnsi="Symbol" w:cs="Symbol"/>
    </w:rPr>
  </w:style>
  <w:style w:type="character" w:styleId="875">
    <w:name w:val="WW8Num7z1"/>
    <w:next w:val="875"/>
    <w:link w:val="847"/>
    <w:rPr>
      <w:rFonts w:ascii="Courier New" w:hAnsi="Courier New" w:cs="Courier New"/>
    </w:rPr>
  </w:style>
  <w:style w:type="character" w:styleId="876">
    <w:name w:val="WW8Num7z2"/>
    <w:next w:val="876"/>
    <w:link w:val="847"/>
    <w:rPr>
      <w:rFonts w:ascii="Wingdings" w:hAnsi="Wingdings" w:cs="Wingdings"/>
    </w:rPr>
  </w:style>
  <w:style w:type="character" w:styleId="877">
    <w:name w:val="WW8Num8z0"/>
    <w:next w:val="877"/>
    <w:link w:val="847"/>
    <w:rPr>
      <w:rFonts w:ascii="Times New Roman" w:hAnsi="Times New Roman" w:eastAsia="Times New Roman" w:cs="Times New Roman"/>
    </w:rPr>
  </w:style>
  <w:style w:type="character" w:styleId="878">
    <w:name w:val="WW8Num8z1"/>
    <w:next w:val="878"/>
    <w:link w:val="847"/>
    <w:rPr>
      <w:rFonts w:ascii="Courier New" w:hAnsi="Courier New" w:cs="Courier New"/>
    </w:rPr>
  </w:style>
  <w:style w:type="character" w:styleId="879">
    <w:name w:val="WW8Num8z2"/>
    <w:next w:val="879"/>
    <w:link w:val="847"/>
    <w:rPr>
      <w:rFonts w:ascii="Wingdings" w:hAnsi="Wingdings" w:cs="Wingdings"/>
    </w:rPr>
  </w:style>
  <w:style w:type="character" w:styleId="880">
    <w:name w:val="WW8Num8z3"/>
    <w:next w:val="880"/>
    <w:link w:val="847"/>
    <w:rPr>
      <w:rFonts w:ascii="Symbol" w:hAnsi="Symbol" w:cs="Symbol"/>
    </w:rPr>
  </w:style>
  <w:style w:type="character" w:styleId="881">
    <w:name w:val="WW8Num9z0"/>
    <w:next w:val="881"/>
    <w:rPr>
      <w:rFonts w:ascii="Times New Roman" w:hAnsi="Times New Roman" w:eastAsia="Times New Roman" w:cs="Times New Roman"/>
    </w:rPr>
  </w:style>
  <w:style w:type="character" w:styleId="882">
    <w:name w:val="WW8Num9z1"/>
    <w:next w:val="882"/>
    <w:link w:val="847"/>
    <w:rPr>
      <w:rFonts w:ascii="Courier New" w:hAnsi="Courier New" w:cs="Courier New"/>
    </w:rPr>
  </w:style>
  <w:style w:type="character" w:styleId="883">
    <w:name w:val="WW8Num9z2"/>
    <w:next w:val="883"/>
    <w:link w:val="847"/>
    <w:rPr>
      <w:rFonts w:ascii="Wingdings" w:hAnsi="Wingdings" w:cs="Wingdings"/>
    </w:rPr>
  </w:style>
  <w:style w:type="character" w:styleId="884">
    <w:name w:val="WW8Num9z3"/>
    <w:next w:val="884"/>
    <w:link w:val="847"/>
    <w:rPr>
      <w:rFonts w:ascii="Symbol" w:hAnsi="Symbol" w:cs="Symbol"/>
    </w:rPr>
  </w:style>
  <w:style w:type="character" w:styleId="885">
    <w:name w:val="Основной шрифт абзаца"/>
    <w:next w:val="885"/>
    <w:link w:val="847"/>
  </w:style>
  <w:style w:type="character" w:styleId="886">
    <w:name w:val="Номер страницы"/>
    <w:basedOn w:val="885"/>
    <w:next w:val="886"/>
    <w:link w:val="847"/>
  </w:style>
  <w:style w:type="character" w:styleId="887">
    <w:name w:val="Интернет-ссылка"/>
    <w:next w:val="887"/>
    <w:link w:val="847"/>
    <w:rPr>
      <w:color w:val="000080"/>
      <w:u w:val="single"/>
      <w:lang w:val="en-US" w:eastAsia="en-US" w:bidi="en-US"/>
    </w:rPr>
  </w:style>
  <w:style w:type="paragraph" w:styleId="888">
    <w:name w:val="Заголовок"/>
    <w:basedOn w:val="847"/>
    <w:next w:val="889"/>
    <w:link w:val="84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89">
    <w:name w:val="Основной текст"/>
    <w:basedOn w:val="847"/>
    <w:next w:val="889"/>
    <w:link w:val="847"/>
    <w:pPr>
      <w:jc w:val="both"/>
    </w:pPr>
  </w:style>
  <w:style w:type="paragraph" w:styleId="890">
    <w:name w:val="Список"/>
    <w:basedOn w:val="889"/>
    <w:next w:val="890"/>
    <w:link w:val="847"/>
    <w:rPr>
      <w:rFonts w:cs="Mangal"/>
    </w:rPr>
  </w:style>
  <w:style w:type="paragraph" w:styleId="891">
    <w:name w:val="Название"/>
    <w:basedOn w:val="847"/>
    <w:next w:val="891"/>
    <w:link w:val="84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2">
    <w:name w:val="Указатель"/>
    <w:basedOn w:val="847"/>
    <w:next w:val="892"/>
    <w:link w:val="847"/>
    <w:pPr>
      <w:suppressLineNumbers/>
    </w:pPr>
    <w:rPr>
      <w:rFonts w:cs="Mangal"/>
      <w:lang w:val="en-US" w:eastAsia="en-US" w:bidi="en-US"/>
    </w:rPr>
  </w:style>
  <w:style w:type="paragraph" w:styleId="893">
    <w:name w:val="Схема документа"/>
    <w:basedOn w:val="847"/>
    <w:next w:val="893"/>
    <w:link w:val="847"/>
    <w:pPr>
      <w:shd w:val="clear" w:color="auto" w:fill="000080"/>
    </w:pPr>
    <w:rPr>
      <w:rFonts w:ascii="Tahoma" w:hAnsi="Tahoma" w:cs="Tahoma"/>
    </w:rPr>
  </w:style>
  <w:style w:type="paragraph" w:styleId="894">
    <w:name w:val="Основной текст с отступом"/>
    <w:basedOn w:val="847"/>
    <w:next w:val="894"/>
    <w:link w:val="847"/>
    <w:pPr>
      <w:ind w:left="0" w:right="0" w:firstLine="540"/>
      <w:jc w:val="both"/>
    </w:pPr>
  </w:style>
  <w:style w:type="paragraph" w:styleId="895">
    <w:name w:val="Текст выноски"/>
    <w:basedOn w:val="847"/>
    <w:next w:val="895"/>
    <w:link w:val="847"/>
    <w:rPr>
      <w:rFonts w:ascii="Tahoma" w:hAnsi="Tahoma" w:cs="Tahoma"/>
      <w:sz w:val="16"/>
      <w:szCs w:val="16"/>
    </w:rPr>
  </w:style>
  <w:style w:type="paragraph" w:styleId="896">
    <w:name w:val="Колонтитул"/>
    <w:basedOn w:val="847"/>
    <w:next w:val="896"/>
    <w:link w:val="847"/>
    <w:pPr>
      <w:tabs>
        <w:tab w:val="center" w:pos="4819" w:leader="none"/>
        <w:tab w:val="right" w:pos="9638" w:leader="none"/>
      </w:tabs>
      <w:suppressLineNumbers/>
    </w:pPr>
  </w:style>
  <w:style w:type="paragraph" w:styleId="897">
    <w:name w:val="Верхний колонтитул"/>
    <w:basedOn w:val="847"/>
    <w:next w:val="897"/>
    <w:link w:val="847"/>
    <w:pPr>
      <w:tabs>
        <w:tab w:val="center" w:pos="4677" w:leader="none"/>
        <w:tab w:val="right" w:pos="9355" w:leader="none"/>
      </w:tabs>
    </w:pPr>
  </w:style>
  <w:style w:type="paragraph" w:styleId="898">
    <w:name w:val="Нижний колонтитул"/>
    <w:basedOn w:val="847"/>
    <w:next w:val="898"/>
    <w:link w:val="847"/>
    <w:pPr>
      <w:tabs>
        <w:tab w:val="center" w:pos="4677" w:leader="none"/>
        <w:tab w:val="right" w:pos="9355" w:leader="none"/>
      </w:tabs>
    </w:pPr>
  </w:style>
  <w:style w:type="paragraph" w:styleId="899">
    <w:name w:val="ConsPlusNormal"/>
    <w:next w:val="899"/>
    <w:link w:val="847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0">
    <w:name w:val="Содержимое врезки"/>
    <w:basedOn w:val="847"/>
    <w:next w:val="900"/>
    <w:link w:val="847"/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paragraph" w:styleId="1_806" w:customStyle="1">
    <w:name w:val="s_1"/>
    <w:basedOn w:val="85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289887&amp;dst=1716&amp;demo=1" TargetMode="External"/><Relationship Id="rId13" Type="http://schemas.openxmlformats.org/officeDocument/2006/relationships/hyperlink" Target="https://login.consultant.ru/link/?req=doc&amp;base=LAW&amp;n=219266&amp;dst=29&amp;demo=1" TargetMode="External"/><Relationship Id="rId14" Type="http://schemas.openxmlformats.org/officeDocument/2006/relationships/hyperlink" Target="https://login.consultant.ru/link/?req=doc&amp;base=LAW&amp;n=283726&amp;dst=4294967295&amp;demo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34</cp:revision>
  <dcterms:created xsi:type="dcterms:W3CDTF">2022-09-14T11:56:00Z</dcterms:created>
  <dcterms:modified xsi:type="dcterms:W3CDTF">2024-12-18T15:07:33Z</dcterms:modified>
</cp:coreProperties>
</file>